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D8" w:rsidRPr="00CE21B4" w:rsidRDefault="00D774D8" w:rsidP="00D774D8">
      <w:pPr>
        <w:pStyle w:val="Heading1"/>
      </w:pPr>
      <w:r w:rsidRPr="00CE21B4">
        <w:t>ORDINANCE #__________</w:t>
      </w:r>
    </w:p>
    <w:p w:rsidR="00D774D8" w:rsidRPr="00DB7995" w:rsidRDefault="00D774D8" w:rsidP="00D774D8">
      <w:pPr>
        <w:autoSpaceDE w:val="0"/>
        <w:autoSpaceDN w:val="0"/>
        <w:adjustRightInd w:val="0"/>
        <w:jc w:val="center"/>
        <w:rPr>
          <w:rFonts w:cs="Tahoma"/>
        </w:rPr>
      </w:pPr>
    </w:p>
    <w:p w:rsidR="00D774D8" w:rsidRPr="00DB7995" w:rsidRDefault="00D774D8" w:rsidP="004F0A11">
      <w:r w:rsidRPr="00DB7995">
        <w:t xml:space="preserve">BE IT ENACTED BY THE </w:t>
      </w:r>
      <w:bookmarkStart w:id="0" w:name="OLE_LINK3"/>
      <w:bookmarkStart w:id="1" w:name="OLE_LINK4"/>
      <w:bookmarkStart w:id="2" w:name="OLE_LINK9"/>
      <w:r w:rsidR="00826A88" w:rsidRPr="004F3719">
        <w:rPr>
          <w:b/>
          <w:color w:val="0000FF"/>
          <w:highlight w:val="yellow"/>
        </w:rPr>
        <w:t>GOVERNING</w:t>
      </w:r>
      <w:r w:rsidR="00826A88" w:rsidRPr="00826A88">
        <w:rPr>
          <w:color w:val="0000FF"/>
          <w:highlight w:val="yellow"/>
        </w:rPr>
        <w:t xml:space="preserve"> </w:t>
      </w:r>
      <w:r w:rsidR="00826A88" w:rsidRPr="004F3719">
        <w:rPr>
          <w:b/>
          <w:color w:val="0000FF"/>
          <w:highlight w:val="yellow"/>
        </w:rPr>
        <w:t>BODY</w:t>
      </w:r>
      <w:r w:rsidR="00826A88">
        <w:t xml:space="preserve"> </w:t>
      </w:r>
      <w:bookmarkEnd w:id="0"/>
      <w:bookmarkEnd w:id="1"/>
      <w:bookmarkEnd w:id="2"/>
      <w:r w:rsidRPr="00DB7995">
        <w:t xml:space="preserve">OF </w:t>
      </w:r>
      <w:bookmarkStart w:id="3" w:name="OLE_LINK5"/>
      <w:bookmarkStart w:id="4" w:name="OLE_LINK6"/>
      <w:r w:rsidR="00826A88" w:rsidRPr="004F3719">
        <w:rPr>
          <w:b/>
          <w:color w:val="0000FF"/>
          <w:highlight w:val="yellow"/>
        </w:rPr>
        <w:t>COMMUNITY</w:t>
      </w:r>
      <w:r w:rsidR="00826A88">
        <w:rPr>
          <w:color w:val="0000FF"/>
          <w:highlight w:val="yellow"/>
        </w:rPr>
        <w:t xml:space="preserve"> </w:t>
      </w:r>
      <w:r w:rsidR="00826A88" w:rsidRPr="004F3719">
        <w:rPr>
          <w:b/>
          <w:color w:val="0000FF"/>
          <w:highlight w:val="yellow"/>
        </w:rPr>
        <w:t>NAME</w:t>
      </w:r>
      <w:bookmarkEnd w:id="3"/>
      <w:bookmarkEnd w:id="4"/>
      <w:r w:rsidR="00826A88" w:rsidRPr="00826A88">
        <w:rPr>
          <w:color w:val="auto"/>
        </w:rPr>
        <w:t>,</w:t>
      </w:r>
      <w:r w:rsidR="00826A88">
        <w:rPr>
          <w:color w:val="0000FF"/>
        </w:rPr>
        <w:t xml:space="preserve"> </w:t>
      </w:r>
      <w:r w:rsidRPr="00DB7995">
        <w:t xml:space="preserve">ARKANSAS, </w:t>
      </w:r>
      <w:proofErr w:type="gramStart"/>
      <w:r w:rsidRPr="00DB7995">
        <w:t>AN</w:t>
      </w:r>
      <w:proofErr w:type="gramEnd"/>
      <w:r w:rsidRPr="00DB7995">
        <w:t xml:space="preserve"> ORDINANCE TO BE ENTITLED: </w:t>
      </w:r>
      <w:r w:rsidRPr="004F0A11">
        <w:rPr>
          <w:b/>
        </w:rPr>
        <w:t xml:space="preserve">“AN ORDINANCE PROVIDING FOR THE ESTABLISHMENT OF A FLOOD DAMAGE PREVENTION PROGRAM FOR </w:t>
      </w:r>
      <w:r w:rsidR="00826A88" w:rsidRPr="004F0A11">
        <w:rPr>
          <w:b/>
          <w:color w:val="0000FF"/>
          <w:highlight w:val="yellow"/>
        </w:rPr>
        <w:t>COMMUNITY NAME</w:t>
      </w:r>
      <w:r w:rsidR="00826A88" w:rsidRPr="004F0A11">
        <w:rPr>
          <w:b/>
        </w:rPr>
        <w:t xml:space="preserve"> </w:t>
      </w:r>
      <w:r w:rsidRPr="004F0A11">
        <w:rPr>
          <w:b/>
        </w:rPr>
        <w:t>AND FOR OTHER PURPOSES.”</w:t>
      </w:r>
      <w:r w:rsidRPr="00DB7995">
        <w:t xml:space="preserve"> </w:t>
      </w:r>
    </w:p>
    <w:p w:rsidR="00D774D8" w:rsidRDefault="00D774D8" w:rsidP="00D774D8">
      <w:pPr>
        <w:autoSpaceDE w:val="0"/>
        <w:autoSpaceDN w:val="0"/>
        <w:adjustRightInd w:val="0"/>
        <w:rPr>
          <w:rFonts w:cs="Tahoma"/>
        </w:rPr>
      </w:pPr>
    </w:p>
    <w:p w:rsidR="004B2389" w:rsidRDefault="004B2389" w:rsidP="00D774D8">
      <w:pPr>
        <w:autoSpaceDE w:val="0"/>
        <w:autoSpaceDN w:val="0"/>
        <w:adjustRightInd w:val="0"/>
        <w:rPr>
          <w:rFonts w:cs="Tahoma"/>
        </w:rPr>
      </w:pPr>
    </w:p>
    <w:p w:rsidR="00D774D8" w:rsidRPr="004B2389" w:rsidRDefault="00D774D8" w:rsidP="00C975FC">
      <w:pPr>
        <w:pStyle w:val="Heading2"/>
        <w:jc w:val="both"/>
        <w:rPr>
          <w:sz w:val="24"/>
        </w:rPr>
      </w:pPr>
      <w:proofErr w:type="gramStart"/>
      <w:r w:rsidRPr="004B2389">
        <w:rPr>
          <w:sz w:val="24"/>
        </w:rPr>
        <w:t>SECTION 1.</w:t>
      </w:r>
      <w:proofErr w:type="gramEnd"/>
      <w:r w:rsidRPr="004B2389">
        <w:rPr>
          <w:sz w:val="24"/>
        </w:rPr>
        <w:t xml:space="preserve">  STATUTORY AUTHORITY</w:t>
      </w:r>
    </w:p>
    <w:p w:rsidR="00D774D8" w:rsidRDefault="00D774D8" w:rsidP="00D774D8">
      <w:pPr>
        <w:rPr>
          <w:b/>
        </w:rPr>
      </w:pPr>
    </w:p>
    <w:p w:rsidR="00D774D8" w:rsidRPr="00B16CE7" w:rsidRDefault="00D774D8" w:rsidP="00D774D8">
      <w:r w:rsidRPr="00B16CE7">
        <w:t xml:space="preserve">The Legislature of the State of </w:t>
      </w:r>
      <w:smartTag w:uri="urn:schemas-microsoft-com:office:smarttags" w:element="State">
        <w:smartTag w:uri="urn:schemas-microsoft-com:office:smarttags" w:element="place">
          <w:r w:rsidRPr="00B16CE7">
            <w:t>Arkansas</w:t>
          </w:r>
        </w:smartTag>
      </w:smartTag>
      <w:r w:rsidRPr="00B16CE7">
        <w:t xml:space="preserve"> has in Ark. Code Ann. § 14-268-101 et seq., delegated the responsibility of local governmental units to adopt regulations to minimize flood losses.  Therefore, the </w:t>
      </w:r>
      <w:r w:rsidR="004F3719" w:rsidRPr="004F3719">
        <w:rPr>
          <w:b/>
          <w:color w:val="0000FF"/>
          <w:highlight w:val="yellow"/>
        </w:rPr>
        <w:t>governing body</w:t>
      </w:r>
      <w:r w:rsidR="004F3719" w:rsidRPr="00B16CE7">
        <w:t xml:space="preserve"> </w:t>
      </w:r>
      <w:r w:rsidRPr="00B16CE7">
        <w:t xml:space="preserve">of </w:t>
      </w:r>
      <w:bookmarkStart w:id="5" w:name="OLE_LINK7"/>
      <w:bookmarkStart w:id="6" w:name="OLE_LINK8"/>
      <w:r w:rsidR="00C975FC">
        <w:rPr>
          <w:rFonts w:cs="Tahoma"/>
          <w:b/>
          <w:color w:val="0000FF"/>
          <w:highlight w:val="yellow"/>
        </w:rPr>
        <w:t>community name</w:t>
      </w:r>
      <w:bookmarkEnd w:id="5"/>
      <w:bookmarkEnd w:id="6"/>
      <w:r w:rsidRPr="00B16CE7">
        <w:t xml:space="preserve">, Arkansas, does hereby ordain as follows: </w:t>
      </w:r>
    </w:p>
    <w:p w:rsidR="00D774D8" w:rsidRPr="004B2389" w:rsidRDefault="00D774D8" w:rsidP="00D774D8">
      <w:pPr>
        <w:rPr>
          <w:b/>
          <w:sz w:val="22"/>
        </w:rPr>
      </w:pPr>
    </w:p>
    <w:p w:rsidR="004B2389" w:rsidRPr="004B2389" w:rsidRDefault="004B2389" w:rsidP="00D774D8">
      <w:pPr>
        <w:rPr>
          <w:b/>
          <w:sz w:val="22"/>
        </w:rPr>
      </w:pPr>
    </w:p>
    <w:p w:rsidR="00D774D8" w:rsidRPr="004B2389" w:rsidRDefault="00D774D8" w:rsidP="004F3719">
      <w:pPr>
        <w:pStyle w:val="Heading2"/>
        <w:jc w:val="left"/>
        <w:rPr>
          <w:sz w:val="24"/>
        </w:rPr>
      </w:pPr>
      <w:proofErr w:type="gramStart"/>
      <w:r w:rsidRPr="004B2389">
        <w:rPr>
          <w:sz w:val="24"/>
        </w:rPr>
        <w:t>SECTION 2.</w:t>
      </w:r>
      <w:proofErr w:type="gramEnd"/>
      <w:r w:rsidRPr="004B2389">
        <w:rPr>
          <w:sz w:val="24"/>
        </w:rPr>
        <w:t xml:space="preserve"> FINDINGS OF FACT</w:t>
      </w:r>
    </w:p>
    <w:p w:rsidR="00D774D8" w:rsidRPr="004B2389" w:rsidRDefault="00D774D8" w:rsidP="00D774D8">
      <w:pPr>
        <w:rPr>
          <w:sz w:val="22"/>
        </w:rPr>
      </w:pPr>
    </w:p>
    <w:p w:rsidR="00D774D8" w:rsidRDefault="00D774D8" w:rsidP="00593EF8">
      <w:pPr>
        <w:numPr>
          <w:ilvl w:val="0"/>
          <w:numId w:val="13"/>
        </w:numPr>
        <w:tabs>
          <w:tab w:val="clear" w:pos="480"/>
          <w:tab w:val="clear" w:pos="720"/>
          <w:tab w:val="clear" w:pos="1080"/>
          <w:tab w:val="clear" w:pos="1440"/>
          <w:tab w:val="clear" w:pos="1800"/>
        </w:tabs>
        <w:spacing w:after="120"/>
      </w:pPr>
      <w:r w:rsidRPr="005535EE">
        <w:t>The Federal Emergency Management Agency (FEMA) has identified Special Flood Hazard Areas</w:t>
      </w:r>
      <w:r>
        <w:t xml:space="preserve"> </w:t>
      </w:r>
      <w:r w:rsidRPr="00361C11">
        <w:t xml:space="preserve">of </w:t>
      </w:r>
      <w:bookmarkStart w:id="7" w:name="OLE_LINK10"/>
      <w:bookmarkStart w:id="8" w:name="OLE_LINK11"/>
      <w:r w:rsidR="00C975FC">
        <w:rPr>
          <w:rFonts w:cs="Tahoma"/>
          <w:b/>
          <w:color w:val="0000FF"/>
          <w:highlight w:val="yellow"/>
        </w:rPr>
        <w:t>community name</w:t>
      </w:r>
      <w:bookmarkEnd w:id="7"/>
      <w:bookmarkEnd w:id="8"/>
      <w:r w:rsidR="00C975FC" w:rsidRPr="00B16CE7">
        <w:t xml:space="preserve"> </w:t>
      </w:r>
      <w:r>
        <w:t xml:space="preserve">in the </w:t>
      </w:r>
      <w:r w:rsidRPr="00361C11">
        <w:t xml:space="preserve">current scientific </w:t>
      </w:r>
      <w:r>
        <w:t>and engineering report entitled</w:t>
      </w:r>
      <w:r w:rsidRPr="00361C11">
        <w:t xml:space="preserve"> “The Flood Insurance Study </w:t>
      </w:r>
      <w:r>
        <w:t xml:space="preserve">(FIS) </w:t>
      </w:r>
      <w:r w:rsidRPr="00361C11">
        <w:t xml:space="preserve">for </w:t>
      </w:r>
      <w:r w:rsidR="00593EF8">
        <w:rPr>
          <w:rFonts w:cs="Tahoma"/>
          <w:b/>
          <w:color w:val="0000FF"/>
          <w:highlight w:val="yellow"/>
        </w:rPr>
        <w:t xml:space="preserve">    from the FIS title     </w:t>
      </w:r>
      <w:r w:rsidRPr="00361C11">
        <w:t xml:space="preserve">," dated </w:t>
      </w:r>
      <w:bookmarkStart w:id="9" w:name="OLE_LINK12"/>
      <w:bookmarkStart w:id="10" w:name="OLE_LINK13"/>
      <w:r w:rsidR="00593EF8">
        <w:rPr>
          <w:rFonts w:cs="Tahoma"/>
          <w:b/>
          <w:color w:val="0000FF"/>
          <w:highlight w:val="yellow"/>
        </w:rPr>
        <w:t>date of the latest FIS</w:t>
      </w:r>
      <w:bookmarkEnd w:id="9"/>
      <w:bookmarkEnd w:id="10"/>
      <w:r w:rsidRPr="00361C11">
        <w:t xml:space="preserve">, with </w:t>
      </w:r>
      <w:r>
        <w:t>an</w:t>
      </w:r>
      <w:r w:rsidRPr="00361C11">
        <w:t xml:space="preserve"> </w:t>
      </w:r>
      <w:r w:rsidRPr="005535EE">
        <w:t>effective Flood Insurance Rate Map (FIRM) dated</w:t>
      </w:r>
      <w:r w:rsidRPr="00361C11">
        <w:t xml:space="preserve"> </w:t>
      </w:r>
      <w:r w:rsidR="00593EF8">
        <w:rPr>
          <w:rFonts w:cs="Tahoma"/>
          <w:b/>
          <w:color w:val="0000FF"/>
          <w:highlight w:val="yellow"/>
        </w:rPr>
        <w:t>date of the latest FI</w:t>
      </w:r>
      <w:r w:rsidR="00593EF8">
        <w:rPr>
          <w:rFonts w:cs="Tahoma"/>
          <w:b/>
          <w:color w:val="0000FF"/>
          <w:highlight w:val="yellow"/>
        </w:rPr>
        <w:t>RM</w:t>
      </w:r>
      <w:r>
        <w:t>.</w:t>
      </w:r>
    </w:p>
    <w:p w:rsidR="00D774D8" w:rsidRDefault="00D774D8" w:rsidP="00593EF8">
      <w:pPr>
        <w:numPr>
          <w:ilvl w:val="0"/>
          <w:numId w:val="13"/>
        </w:numPr>
        <w:tabs>
          <w:tab w:val="clear" w:pos="480"/>
          <w:tab w:val="clear" w:pos="720"/>
          <w:tab w:val="clear" w:pos="1080"/>
          <w:tab w:val="clear" w:pos="1440"/>
          <w:tab w:val="clear" w:pos="1800"/>
        </w:tabs>
        <w:spacing w:after="120"/>
      </w:pPr>
      <w:r>
        <w:t xml:space="preserve">These Special Flood Hazard Areas </w:t>
      </w:r>
      <w:r w:rsidRPr="00231567">
        <w:t xml:space="preserve">are subject to </w:t>
      </w:r>
      <w:r w:rsidRPr="005535EE">
        <w:t>periodic flooding events that</w:t>
      </w:r>
      <w:r w:rsidRPr="00231567">
        <w:t xml:space="preserve"> result in loss of life and property, pose health and safety hazards, disrupt commerce and governmental services, and </w:t>
      </w:r>
      <w:r>
        <w:t xml:space="preserve">cause </w:t>
      </w:r>
      <w:r w:rsidRPr="00231567">
        <w:t>extraordinary public expenditures for flood protection and relief, all of which adversely affect the public health, safety and general welfare.</w:t>
      </w:r>
    </w:p>
    <w:p w:rsidR="00D774D8" w:rsidRDefault="00D774D8" w:rsidP="00593EF8">
      <w:pPr>
        <w:numPr>
          <w:ilvl w:val="0"/>
          <w:numId w:val="13"/>
        </w:numPr>
        <w:tabs>
          <w:tab w:val="clear" w:pos="480"/>
          <w:tab w:val="clear" w:pos="720"/>
          <w:tab w:val="clear" w:pos="1080"/>
          <w:tab w:val="clear" w:pos="1440"/>
          <w:tab w:val="clear" w:pos="1800"/>
        </w:tabs>
        <w:spacing w:after="120"/>
      </w:pPr>
      <w:r>
        <w:t xml:space="preserve">These </w:t>
      </w:r>
      <w:r w:rsidRPr="00231567">
        <w:t xml:space="preserve">periodic </w:t>
      </w:r>
      <w:r>
        <w:t>flooding events</w:t>
      </w:r>
      <w:r w:rsidRPr="00231567">
        <w:t xml:space="preserve"> </w:t>
      </w:r>
      <w:r>
        <w:t xml:space="preserve">are exacerbated by </w:t>
      </w:r>
      <w:r w:rsidRPr="00231567">
        <w:t xml:space="preserve">the cumulative effect </w:t>
      </w:r>
      <w:r w:rsidRPr="005535EE">
        <w:t xml:space="preserve">of floodplain developments which cause an increase in flood heights and </w:t>
      </w:r>
      <w:proofErr w:type="gramStart"/>
      <w:r w:rsidRPr="005535EE">
        <w:t>velocities,</w:t>
      </w:r>
      <w:proofErr w:type="gramEnd"/>
      <w:r w:rsidRPr="005535EE">
        <w:t xml:space="preserve"> and by the placement of inadequately elevated, inadequate</w:t>
      </w:r>
      <w:r>
        <w:t>ly floodproofed or otherwise un</w:t>
      </w:r>
      <w:r w:rsidRPr="005535EE">
        <w:t>protected structures or uses vulnerable to floods into Special Flood Hazard Areas.  Such structures or uses are inherently hazardous to other lands because of their advers</w:t>
      </w:r>
      <w:r>
        <w:t>e impact on flooding events.</w:t>
      </w:r>
    </w:p>
    <w:p w:rsidR="00D774D8" w:rsidRPr="004B2389" w:rsidRDefault="00D774D8" w:rsidP="00D774D8">
      <w:pPr>
        <w:rPr>
          <w:sz w:val="22"/>
        </w:rPr>
      </w:pPr>
    </w:p>
    <w:p w:rsidR="004B2389" w:rsidRPr="004B2389" w:rsidRDefault="004B2389" w:rsidP="00D774D8">
      <w:pPr>
        <w:rPr>
          <w:sz w:val="22"/>
        </w:rPr>
      </w:pPr>
    </w:p>
    <w:p w:rsidR="00D774D8" w:rsidRPr="004B2389" w:rsidRDefault="00D774D8" w:rsidP="004B2389">
      <w:pPr>
        <w:pStyle w:val="Heading2"/>
        <w:jc w:val="left"/>
        <w:rPr>
          <w:sz w:val="24"/>
        </w:rPr>
      </w:pPr>
      <w:proofErr w:type="gramStart"/>
      <w:r w:rsidRPr="004B2389">
        <w:rPr>
          <w:sz w:val="24"/>
        </w:rPr>
        <w:t>SECTION 3.</w:t>
      </w:r>
      <w:proofErr w:type="gramEnd"/>
      <w:r w:rsidRPr="004B2389">
        <w:rPr>
          <w:sz w:val="24"/>
        </w:rPr>
        <w:t xml:space="preserve">  STATEMENT OF PURPOSE</w:t>
      </w:r>
    </w:p>
    <w:p w:rsidR="00D774D8" w:rsidRPr="004B2389" w:rsidRDefault="00D774D8" w:rsidP="00D774D8">
      <w:pPr>
        <w:rPr>
          <w:sz w:val="22"/>
        </w:rPr>
      </w:pPr>
    </w:p>
    <w:p w:rsidR="00D774D8" w:rsidRDefault="00D774D8" w:rsidP="00D774D8">
      <w:r>
        <w:t>Th</w:t>
      </w:r>
      <w:r w:rsidRPr="00231567">
        <w:t xml:space="preserve">e purpose of this </w:t>
      </w:r>
      <w:r>
        <w:t>ordinance</w:t>
      </w:r>
      <w:r w:rsidRPr="00231567">
        <w:t xml:space="preserve"> </w:t>
      </w:r>
      <w:r>
        <w:t xml:space="preserve">is </w:t>
      </w:r>
      <w:r w:rsidRPr="00231567">
        <w:t>to promote the public health, safety and general welfare</w:t>
      </w:r>
      <w:r>
        <w:t>, to prevent adverse impacts from any floodplain development activities,</w:t>
      </w:r>
      <w:r w:rsidRPr="00231567">
        <w:t xml:space="preserve"> and to minimize public and private losses due to flood</w:t>
      </w:r>
      <w:r>
        <w:t>ing events</w:t>
      </w:r>
      <w:r w:rsidRPr="00231567">
        <w:t xml:space="preserve"> in </w:t>
      </w:r>
      <w:r>
        <w:t xml:space="preserve">identified Special Flood Hazard Areas.  This ordinance advances the stated </w:t>
      </w:r>
      <w:r w:rsidRPr="00231567">
        <w:t xml:space="preserve">purpose </w:t>
      </w:r>
      <w:r>
        <w:t xml:space="preserve">through </w:t>
      </w:r>
      <w:r w:rsidRPr="00231567">
        <w:t>provisions designed to:</w:t>
      </w:r>
    </w:p>
    <w:p w:rsidR="00D774D8" w:rsidRDefault="00D774D8" w:rsidP="00D774D8"/>
    <w:p w:rsidR="00D774D8" w:rsidRDefault="00D774D8" w:rsidP="004B2389">
      <w:pPr>
        <w:numPr>
          <w:ilvl w:val="0"/>
          <w:numId w:val="14"/>
        </w:numPr>
        <w:tabs>
          <w:tab w:val="clear" w:pos="720"/>
          <w:tab w:val="clear" w:pos="1440"/>
          <w:tab w:val="clear" w:pos="1800"/>
        </w:tabs>
        <w:spacing w:after="120"/>
      </w:pPr>
      <w:r w:rsidRPr="005535EE">
        <w:t>Protect human life and health;</w:t>
      </w:r>
    </w:p>
    <w:p w:rsidR="00D774D8" w:rsidRDefault="00D774D8" w:rsidP="004B2389">
      <w:pPr>
        <w:numPr>
          <w:ilvl w:val="0"/>
          <w:numId w:val="14"/>
        </w:numPr>
        <w:tabs>
          <w:tab w:val="clear" w:pos="720"/>
          <w:tab w:val="clear" w:pos="1440"/>
          <w:tab w:val="clear" w:pos="1800"/>
        </w:tabs>
        <w:spacing w:after="120"/>
      </w:pPr>
      <w:r w:rsidRPr="005535EE">
        <w:t>Protect natural floodplains against unwise development;</w:t>
      </w:r>
    </w:p>
    <w:p w:rsidR="00D774D8" w:rsidRDefault="00D774D8" w:rsidP="004B2389">
      <w:pPr>
        <w:numPr>
          <w:ilvl w:val="0"/>
          <w:numId w:val="14"/>
        </w:numPr>
        <w:tabs>
          <w:tab w:val="clear" w:pos="720"/>
          <w:tab w:val="clear" w:pos="1440"/>
          <w:tab w:val="clear" w:pos="1800"/>
        </w:tabs>
        <w:spacing w:after="120"/>
      </w:pPr>
      <w:r w:rsidRPr="005535EE">
        <w:t>Eliminate adverse impacts of necessary floodplain development;</w:t>
      </w:r>
    </w:p>
    <w:p w:rsidR="00D774D8" w:rsidRDefault="00D774D8" w:rsidP="004B2389">
      <w:pPr>
        <w:numPr>
          <w:ilvl w:val="0"/>
          <w:numId w:val="14"/>
        </w:numPr>
        <w:tabs>
          <w:tab w:val="clear" w:pos="720"/>
          <w:tab w:val="clear" w:pos="1440"/>
          <w:tab w:val="clear" w:pos="1800"/>
        </w:tabs>
        <w:spacing w:after="120"/>
      </w:pPr>
      <w:r w:rsidRPr="005535EE">
        <w:t>Minimize expenditure of public monies on flood control projects;</w:t>
      </w:r>
    </w:p>
    <w:p w:rsidR="00D774D8" w:rsidRDefault="00D774D8" w:rsidP="004B2389">
      <w:pPr>
        <w:numPr>
          <w:ilvl w:val="0"/>
          <w:numId w:val="14"/>
        </w:numPr>
        <w:tabs>
          <w:tab w:val="clear" w:pos="720"/>
          <w:tab w:val="clear" w:pos="1440"/>
          <w:tab w:val="clear" w:pos="1800"/>
        </w:tabs>
        <w:spacing w:after="120"/>
      </w:pPr>
      <w:r w:rsidRPr="005535EE">
        <w:lastRenderedPageBreak/>
        <w:t xml:space="preserve">Minimize </w:t>
      </w:r>
      <w:r>
        <w:t xml:space="preserve">the need for </w:t>
      </w:r>
      <w:r w:rsidRPr="005535EE">
        <w:t xml:space="preserve">rescue and relief efforts </w:t>
      </w:r>
      <w:r>
        <w:t>associated with</w:t>
      </w:r>
      <w:r w:rsidRPr="005535EE">
        <w:t xml:space="preserve"> flooding </w:t>
      </w:r>
      <w:r>
        <w:t>and generally undertaken at the expense of the general public</w:t>
      </w:r>
      <w:r w:rsidRPr="005535EE">
        <w:t>;</w:t>
      </w:r>
    </w:p>
    <w:p w:rsidR="00D774D8" w:rsidRDefault="00D774D8" w:rsidP="004B2389">
      <w:pPr>
        <w:numPr>
          <w:ilvl w:val="0"/>
          <w:numId w:val="14"/>
        </w:numPr>
        <w:tabs>
          <w:tab w:val="clear" w:pos="720"/>
          <w:tab w:val="clear" w:pos="1440"/>
          <w:tab w:val="clear" w:pos="1800"/>
        </w:tabs>
        <w:spacing w:after="120"/>
      </w:pPr>
      <w:r w:rsidRPr="005535EE">
        <w:t>Minimize prolonged business interruptions due to flooding events;</w:t>
      </w:r>
    </w:p>
    <w:p w:rsidR="00D774D8" w:rsidRDefault="00D774D8" w:rsidP="004B2389">
      <w:pPr>
        <w:numPr>
          <w:ilvl w:val="0"/>
          <w:numId w:val="14"/>
        </w:numPr>
        <w:tabs>
          <w:tab w:val="clear" w:pos="720"/>
          <w:tab w:val="clear" w:pos="1440"/>
          <w:tab w:val="clear" w:pos="1800"/>
        </w:tabs>
        <w:spacing w:after="120"/>
      </w:pPr>
      <w:r w:rsidRPr="005535EE">
        <w:t>Minimize damage to public facilities and utilities such as water and gas mains, electric, telephone and sewer lines, streets and bridges located in Special Flood Hazard Areas;</w:t>
      </w:r>
    </w:p>
    <w:p w:rsidR="00D774D8" w:rsidRDefault="00D774D8" w:rsidP="004B2389">
      <w:pPr>
        <w:numPr>
          <w:ilvl w:val="0"/>
          <w:numId w:val="14"/>
        </w:numPr>
        <w:tabs>
          <w:tab w:val="clear" w:pos="720"/>
          <w:tab w:val="clear" w:pos="1440"/>
          <w:tab w:val="clear" w:pos="1800"/>
        </w:tabs>
        <w:spacing w:after="120"/>
      </w:pPr>
      <w:r w:rsidRPr="005535EE">
        <w:t xml:space="preserve">Minimize future flood blight areas to help maintain a stable tax base; and </w:t>
      </w:r>
    </w:p>
    <w:p w:rsidR="00D774D8" w:rsidRPr="005535EE" w:rsidRDefault="00D774D8" w:rsidP="004B2389">
      <w:pPr>
        <w:numPr>
          <w:ilvl w:val="0"/>
          <w:numId w:val="14"/>
        </w:numPr>
        <w:tabs>
          <w:tab w:val="clear" w:pos="720"/>
          <w:tab w:val="clear" w:pos="1440"/>
          <w:tab w:val="clear" w:pos="1800"/>
        </w:tabs>
        <w:spacing w:after="120"/>
      </w:pPr>
      <w:r w:rsidRPr="005535EE">
        <w:t>Provide for notice to potential buyers when property is in a Special Flood Hazard Area.</w:t>
      </w:r>
    </w:p>
    <w:p w:rsidR="00D774D8" w:rsidRPr="004B2389" w:rsidRDefault="00D774D8" w:rsidP="00D774D8">
      <w:pPr>
        <w:rPr>
          <w:b/>
        </w:rPr>
      </w:pPr>
    </w:p>
    <w:p w:rsidR="00D774D8" w:rsidRPr="004B2389" w:rsidRDefault="00D774D8" w:rsidP="00D774D8">
      <w:pPr>
        <w:rPr>
          <w:b/>
        </w:rPr>
      </w:pPr>
    </w:p>
    <w:p w:rsidR="00D774D8" w:rsidRPr="004B2389" w:rsidRDefault="00D774D8" w:rsidP="00D774D8">
      <w:pPr>
        <w:rPr>
          <w:b/>
        </w:rPr>
      </w:pPr>
      <w:proofErr w:type="gramStart"/>
      <w:r w:rsidRPr="004B2389">
        <w:rPr>
          <w:b/>
        </w:rPr>
        <w:t>SECTION 4.</w:t>
      </w:r>
      <w:proofErr w:type="gramEnd"/>
      <w:r w:rsidRPr="004B2389">
        <w:rPr>
          <w:b/>
        </w:rPr>
        <w:t xml:space="preserve">  </w:t>
      </w:r>
      <w:r w:rsidRPr="004B2389">
        <w:rPr>
          <w:b/>
          <w:u w:val="single"/>
        </w:rPr>
        <w:t>LANDS TO WHICH THIS ORDINANCE APPLIES</w:t>
      </w:r>
    </w:p>
    <w:p w:rsidR="00D774D8" w:rsidRPr="004B2389" w:rsidRDefault="00D774D8" w:rsidP="00D774D8">
      <w:pPr>
        <w:rPr>
          <w:b/>
        </w:rPr>
      </w:pPr>
    </w:p>
    <w:p w:rsidR="00D774D8" w:rsidRDefault="00D774D8" w:rsidP="00D774D8">
      <w:r>
        <w:t xml:space="preserve">The ordinance shall apply to all Special Flood Hazard Areas within the jurisdiction of </w:t>
      </w:r>
      <w:r w:rsidR="00C975FC">
        <w:rPr>
          <w:rFonts w:cs="Tahoma"/>
          <w:b/>
          <w:color w:val="0000FF"/>
          <w:highlight w:val="yellow"/>
        </w:rPr>
        <w:t>community name</w:t>
      </w:r>
      <w:r w:rsidR="00C975FC" w:rsidRPr="00C975FC">
        <w:rPr>
          <w:rFonts w:cs="Tahoma"/>
          <w:b/>
          <w:color w:val="auto"/>
        </w:rPr>
        <w:t>.</w:t>
      </w:r>
    </w:p>
    <w:p w:rsidR="00D774D8" w:rsidRDefault="00D774D8" w:rsidP="00D774D8"/>
    <w:p w:rsidR="00D774D8" w:rsidRDefault="00D774D8" w:rsidP="00D774D8"/>
    <w:p w:rsidR="00D774D8" w:rsidRPr="005535EE" w:rsidRDefault="00D774D8" w:rsidP="00D774D8">
      <w:proofErr w:type="gramStart"/>
      <w:r>
        <w:rPr>
          <w:b/>
        </w:rPr>
        <w:t>SECTION 5</w:t>
      </w:r>
      <w:r w:rsidRPr="005535EE">
        <w:rPr>
          <w:b/>
        </w:rPr>
        <w:t>.</w:t>
      </w:r>
      <w:proofErr w:type="gramEnd"/>
      <w:r w:rsidRPr="005535EE">
        <w:rPr>
          <w:b/>
        </w:rPr>
        <w:t xml:space="preserve">  </w:t>
      </w:r>
      <w:r w:rsidRPr="005535EE">
        <w:rPr>
          <w:b/>
          <w:u w:val="single"/>
        </w:rPr>
        <w:t>METHODS OF REDUCING FLOOD LOSSES</w:t>
      </w:r>
    </w:p>
    <w:p w:rsidR="00D774D8" w:rsidRPr="005535EE" w:rsidRDefault="00D774D8" w:rsidP="00D774D8"/>
    <w:p w:rsidR="00D774D8" w:rsidRPr="005535EE" w:rsidRDefault="00D774D8" w:rsidP="00D774D8">
      <w:r w:rsidRPr="005535EE">
        <w:t xml:space="preserve">This </w:t>
      </w:r>
      <w:r>
        <w:t>ordinance</w:t>
      </w:r>
      <w:r w:rsidRPr="005535EE">
        <w:t xml:space="preserve"> uses the following methods to accomplish the stated purpose:</w:t>
      </w:r>
    </w:p>
    <w:p w:rsidR="00D774D8" w:rsidRPr="005535EE" w:rsidRDefault="00D774D8" w:rsidP="00D774D8"/>
    <w:p w:rsidR="00D774D8" w:rsidRDefault="00D774D8" w:rsidP="00023978">
      <w:pPr>
        <w:numPr>
          <w:ilvl w:val="0"/>
          <w:numId w:val="15"/>
        </w:numPr>
        <w:tabs>
          <w:tab w:val="clear" w:pos="720"/>
          <w:tab w:val="clear" w:pos="1440"/>
          <w:tab w:val="clear" w:pos="1800"/>
        </w:tabs>
        <w:spacing w:after="120"/>
      </w:pPr>
      <w:r w:rsidRPr="005535EE">
        <w:t xml:space="preserve">This </w:t>
      </w:r>
      <w:r>
        <w:t>ordinance</w:t>
      </w:r>
      <w:r w:rsidRPr="005535EE">
        <w:t xml:space="preserve"> restricts or prohibits structures or uses in Special Flood Hazard Areas that adversely impact health, safety or property during flooding events;</w:t>
      </w:r>
    </w:p>
    <w:p w:rsidR="00D774D8" w:rsidRDefault="00D774D8" w:rsidP="00023978">
      <w:pPr>
        <w:numPr>
          <w:ilvl w:val="0"/>
          <w:numId w:val="15"/>
        </w:numPr>
        <w:tabs>
          <w:tab w:val="clear" w:pos="720"/>
          <w:tab w:val="clear" w:pos="1440"/>
          <w:tab w:val="clear" w:pos="1800"/>
        </w:tabs>
        <w:spacing w:after="120"/>
      </w:pPr>
      <w:r w:rsidRPr="005535EE">
        <w:t xml:space="preserve">This </w:t>
      </w:r>
      <w:r>
        <w:t>ordinance</w:t>
      </w:r>
      <w:r w:rsidRPr="005535EE">
        <w:t xml:space="preserve"> requires protection against flood damage for structures or uses vulnerable to floods at the time of initial construction, or after substantial improvement of the structure, or after substantial damage has occurred;</w:t>
      </w:r>
    </w:p>
    <w:p w:rsidR="00D774D8" w:rsidRDefault="00D774D8" w:rsidP="00023978">
      <w:pPr>
        <w:numPr>
          <w:ilvl w:val="0"/>
          <w:numId w:val="15"/>
        </w:numPr>
        <w:tabs>
          <w:tab w:val="clear" w:pos="720"/>
          <w:tab w:val="clear" w:pos="1440"/>
          <w:tab w:val="clear" w:pos="1800"/>
        </w:tabs>
        <w:spacing w:after="120"/>
      </w:pPr>
      <w:r w:rsidRPr="005535EE">
        <w:t xml:space="preserve">This </w:t>
      </w:r>
      <w:r>
        <w:t>ordinance</w:t>
      </w:r>
      <w:r w:rsidRPr="005535EE">
        <w:t xml:space="preserve"> controls the alteration of natural floodplains, stream channels and natural protective barriers which are involved in the accommodation and transport of flood waters;</w:t>
      </w:r>
    </w:p>
    <w:p w:rsidR="00D774D8" w:rsidRDefault="00D774D8" w:rsidP="00023978">
      <w:pPr>
        <w:numPr>
          <w:ilvl w:val="0"/>
          <w:numId w:val="15"/>
        </w:numPr>
        <w:tabs>
          <w:tab w:val="clear" w:pos="720"/>
          <w:tab w:val="clear" w:pos="1440"/>
          <w:tab w:val="clear" w:pos="1800"/>
        </w:tabs>
        <w:spacing w:after="120"/>
      </w:pPr>
      <w:r w:rsidRPr="005535EE">
        <w:t xml:space="preserve">This </w:t>
      </w:r>
      <w:r>
        <w:t>ordinance</w:t>
      </w:r>
      <w:r w:rsidRPr="005535EE">
        <w:t xml:space="preserve"> controls floodplain development (structural development, placement of manufactured structures, clearing, grading, mining, drilling, dredging, placement of fill, excavating, watercourse alteration, drainage improvements, roadway or bridge construction, individual water or sewer installations and other activities) which may increase flood damage by increasing flood elevations, flood water velocities, or flood discharge patterns;</w:t>
      </w:r>
    </w:p>
    <w:p w:rsidR="00D774D8" w:rsidRDefault="00D774D8" w:rsidP="00023978">
      <w:pPr>
        <w:numPr>
          <w:ilvl w:val="0"/>
          <w:numId w:val="15"/>
        </w:numPr>
        <w:tabs>
          <w:tab w:val="clear" w:pos="720"/>
          <w:tab w:val="clear" w:pos="1440"/>
          <w:tab w:val="clear" w:pos="1800"/>
        </w:tabs>
        <w:spacing w:after="120"/>
      </w:pPr>
      <w:r w:rsidRPr="005535EE">
        <w:t xml:space="preserve">This </w:t>
      </w:r>
      <w:r>
        <w:t>ordinance</w:t>
      </w:r>
      <w:r w:rsidRPr="005535EE">
        <w:t xml:space="preserve"> regulates the construction of flood barriers which unnaturally divert floodwaters or which may adversely </w:t>
      </w:r>
      <w:proofErr w:type="gramStart"/>
      <w:r w:rsidRPr="005535EE">
        <w:t>impact</w:t>
      </w:r>
      <w:proofErr w:type="gramEnd"/>
      <w:r w:rsidRPr="005535EE">
        <w:t xml:space="preserve"> other lands.</w:t>
      </w:r>
    </w:p>
    <w:p w:rsidR="00D774D8" w:rsidRDefault="00D774D8" w:rsidP="00D774D8"/>
    <w:p w:rsidR="00023978" w:rsidRDefault="00023978">
      <w:pPr>
        <w:tabs>
          <w:tab w:val="clear" w:pos="360"/>
          <w:tab w:val="clear" w:pos="480"/>
          <w:tab w:val="clear" w:pos="720"/>
          <w:tab w:val="clear" w:pos="1080"/>
          <w:tab w:val="clear" w:pos="1440"/>
          <w:tab w:val="clear" w:pos="1800"/>
        </w:tabs>
        <w:suppressAutoHyphens w:val="0"/>
        <w:rPr>
          <w:rFonts w:cs="Tahoma"/>
          <w:b/>
        </w:rPr>
      </w:pPr>
      <w:r>
        <w:rPr>
          <w:rFonts w:cs="Tahoma"/>
          <w:b/>
        </w:rPr>
        <w:br w:type="page"/>
      </w:r>
    </w:p>
    <w:p w:rsidR="00D774D8" w:rsidRPr="00DC3C39" w:rsidRDefault="00D774D8" w:rsidP="00D774D8">
      <w:pPr>
        <w:autoSpaceDE w:val="0"/>
        <w:autoSpaceDN w:val="0"/>
        <w:adjustRightInd w:val="0"/>
        <w:ind w:left="900" w:hanging="900"/>
        <w:rPr>
          <w:rFonts w:cs="Tahoma"/>
          <w:b/>
        </w:rPr>
      </w:pPr>
      <w:proofErr w:type="gramStart"/>
      <w:r w:rsidRPr="00DC3C39">
        <w:rPr>
          <w:rFonts w:cs="Tahoma"/>
          <w:b/>
        </w:rPr>
        <w:lastRenderedPageBreak/>
        <w:t xml:space="preserve">SECTION </w:t>
      </w:r>
      <w:r>
        <w:rPr>
          <w:rFonts w:cs="Tahoma"/>
          <w:b/>
        </w:rPr>
        <w:t>6</w:t>
      </w:r>
      <w:r w:rsidRPr="00DC3C39">
        <w:rPr>
          <w:rFonts w:cs="Tahoma"/>
          <w:b/>
        </w:rPr>
        <w:t>.</w:t>
      </w:r>
      <w:proofErr w:type="gramEnd"/>
      <w:r w:rsidRPr="00DC3C39">
        <w:rPr>
          <w:rFonts w:cs="Tahoma"/>
          <w:b/>
        </w:rPr>
        <w:t xml:space="preserve">  </w:t>
      </w:r>
      <w:r w:rsidRPr="00DC3C39">
        <w:rPr>
          <w:rFonts w:cs="Tahoma"/>
          <w:b/>
          <w:u w:val="single"/>
        </w:rPr>
        <w:t>FLOOD DAMAGE PREVENTION CODE ADOPTED BY REFERENCE</w:t>
      </w:r>
    </w:p>
    <w:p w:rsidR="00D774D8" w:rsidRPr="00DB7995" w:rsidRDefault="00D774D8" w:rsidP="00D774D8">
      <w:pPr>
        <w:autoSpaceDE w:val="0"/>
        <w:autoSpaceDN w:val="0"/>
        <w:adjustRightInd w:val="0"/>
        <w:ind w:left="900" w:hanging="900"/>
        <w:rPr>
          <w:rFonts w:cs="Tahoma"/>
        </w:rPr>
      </w:pPr>
    </w:p>
    <w:p w:rsidR="00D774D8" w:rsidRPr="00B16CE7" w:rsidRDefault="00D774D8" w:rsidP="00D774D8">
      <w:pPr>
        <w:autoSpaceDE w:val="0"/>
        <w:autoSpaceDN w:val="0"/>
        <w:adjustRightInd w:val="0"/>
        <w:rPr>
          <w:rFonts w:cs="Tahoma"/>
        </w:rPr>
      </w:pPr>
      <w:r w:rsidRPr="00DB7995">
        <w:rPr>
          <w:rFonts w:cs="Tahoma"/>
        </w:rPr>
        <w:t>There is</w:t>
      </w:r>
      <w:r>
        <w:rPr>
          <w:rFonts w:cs="Tahoma"/>
        </w:rPr>
        <w:t xml:space="preserve"> hereby adopted by reference a “</w:t>
      </w:r>
      <w:r w:rsidRPr="007431D2">
        <w:rPr>
          <w:rFonts w:cs="Tahoma"/>
          <w:b/>
        </w:rPr>
        <w:t xml:space="preserve">Flood Damage Prevention Code for </w:t>
      </w:r>
      <w:bookmarkStart w:id="11" w:name="OLE_LINK14"/>
      <w:bookmarkStart w:id="12" w:name="OLE_LINK15"/>
      <w:r w:rsidR="00C975FC">
        <w:rPr>
          <w:rFonts w:cs="Tahoma"/>
          <w:b/>
          <w:color w:val="0000FF"/>
          <w:highlight w:val="yellow"/>
        </w:rPr>
        <w:t>community name</w:t>
      </w:r>
      <w:r w:rsidRPr="007431D2">
        <w:rPr>
          <w:rFonts w:cs="Tahoma"/>
          <w:b/>
        </w:rPr>
        <w:t>,</w:t>
      </w:r>
      <w:bookmarkEnd w:id="11"/>
      <w:bookmarkEnd w:id="12"/>
      <w:r w:rsidRPr="007431D2">
        <w:rPr>
          <w:rFonts w:cs="Tahoma"/>
          <w:b/>
        </w:rPr>
        <w:t xml:space="preserve"> Arkansas</w:t>
      </w:r>
      <w:r>
        <w:rPr>
          <w:rFonts w:cs="Tahoma"/>
          <w:b/>
        </w:rPr>
        <w:t>,</w:t>
      </w:r>
      <w:r>
        <w:rPr>
          <w:rFonts w:cs="Tahoma"/>
        </w:rPr>
        <w:t>”</w:t>
      </w:r>
      <w:r w:rsidRPr="00771DFC">
        <w:rPr>
          <w:b/>
          <w:lang w:eastAsia="ja-JP"/>
        </w:rPr>
        <w:t xml:space="preserve"> </w:t>
      </w:r>
      <w:r>
        <w:rPr>
          <w:b/>
          <w:lang w:eastAsia="ja-JP"/>
        </w:rPr>
        <w:t xml:space="preserve">dated </w:t>
      </w:r>
      <w:r w:rsidR="00023978">
        <w:rPr>
          <w:rFonts w:cs="Tahoma"/>
          <w:b/>
          <w:color w:val="0000FF"/>
          <w:highlight w:val="yellow"/>
        </w:rPr>
        <w:t>date of code</w:t>
      </w:r>
      <w:r w:rsidR="00023978">
        <w:rPr>
          <w:rFonts w:cs="Tahoma"/>
          <w:b/>
        </w:rPr>
        <w:t xml:space="preserve">.  </w:t>
      </w:r>
      <w:r w:rsidRPr="00B16CE7">
        <w:rPr>
          <w:rFonts w:cs="Tahoma"/>
        </w:rPr>
        <w:t>The code shall include:</w:t>
      </w:r>
    </w:p>
    <w:p w:rsidR="00D774D8" w:rsidRPr="00B16CE7" w:rsidRDefault="00D774D8" w:rsidP="00D774D8">
      <w:pPr>
        <w:autoSpaceDE w:val="0"/>
        <w:autoSpaceDN w:val="0"/>
        <w:adjustRightInd w:val="0"/>
        <w:ind w:left="900" w:firstLine="100"/>
        <w:rPr>
          <w:rFonts w:cs="Tahoma"/>
        </w:rPr>
      </w:pPr>
    </w:p>
    <w:p w:rsidR="00D774D8" w:rsidRPr="00B16CE7" w:rsidRDefault="00D774D8" w:rsidP="00D774D8">
      <w:pPr>
        <w:autoSpaceDE w:val="0"/>
        <w:autoSpaceDN w:val="0"/>
        <w:adjustRightInd w:val="0"/>
        <w:ind w:firstLine="1000"/>
        <w:rPr>
          <w:rFonts w:cs="Tahoma"/>
        </w:rPr>
      </w:pPr>
      <w:r w:rsidRPr="00B16CE7">
        <w:rPr>
          <w:rFonts w:cs="Tahoma"/>
        </w:rPr>
        <w:t xml:space="preserve">ARTICLE </w:t>
      </w:r>
      <w:proofErr w:type="gramStart"/>
      <w:r w:rsidRPr="00B16CE7">
        <w:rPr>
          <w:rFonts w:cs="Tahoma"/>
        </w:rPr>
        <w:t>1</w:t>
      </w:r>
      <w:proofErr w:type="gramEnd"/>
      <w:r w:rsidRPr="00B16CE7">
        <w:rPr>
          <w:rFonts w:cs="Tahoma"/>
        </w:rPr>
        <w:t xml:space="preserve"> DEFINITIONS</w:t>
      </w:r>
    </w:p>
    <w:p w:rsidR="00D774D8" w:rsidRPr="00B16CE7" w:rsidRDefault="00D774D8" w:rsidP="00D774D8">
      <w:pPr>
        <w:autoSpaceDE w:val="0"/>
        <w:autoSpaceDN w:val="0"/>
        <w:adjustRightInd w:val="0"/>
        <w:ind w:firstLine="1000"/>
        <w:rPr>
          <w:rFonts w:cs="Tahoma"/>
        </w:rPr>
      </w:pPr>
      <w:r w:rsidRPr="00B16CE7">
        <w:rPr>
          <w:rFonts w:cs="Tahoma"/>
        </w:rPr>
        <w:t xml:space="preserve">ARTICLE </w:t>
      </w:r>
      <w:proofErr w:type="gramStart"/>
      <w:r w:rsidRPr="00B16CE7">
        <w:rPr>
          <w:rFonts w:cs="Tahoma"/>
        </w:rPr>
        <w:t>2</w:t>
      </w:r>
      <w:proofErr w:type="gramEnd"/>
      <w:r w:rsidRPr="00B16CE7">
        <w:rPr>
          <w:rFonts w:cs="Tahoma"/>
        </w:rPr>
        <w:t xml:space="preserve"> ADMINISTRATION</w:t>
      </w:r>
    </w:p>
    <w:p w:rsidR="00D774D8" w:rsidRPr="00B16CE7" w:rsidRDefault="00D774D8" w:rsidP="00D774D8">
      <w:pPr>
        <w:autoSpaceDE w:val="0"/>
        <w:autoSpaceDN w:val="0"/>
        <w:adjustRightInd w:val="0"/>
        <w:ind w:firstLine="1000"/>
        <w:rPr>
          <w:rFonts w:cs="Tahoma"/>
        </w:rPr>
      </w:pPr>
      <w:r w:rsidRPr="00B16CE7">
        <w:rPr>
          <w:rFonts w:cs="Tahoma"/>
        </w:rPr>
        <w:t xml:space="preserve">ARTICLE </w:t>
      </w:r>
      <w:proofErr w:type="gramStart"/>
      <w:r w:rsidRPr="00B16CE7">
        <w:rPr>
          <w:rFonts w:cs="Tahoma"/>
        </w:rPr>
        <w:t>3</w:t>
      </w:r>
      <w:proofErr w:type="gramEnd"/>
      <w:r w:rsidRPr="00B16CE7">
        <w:rPr>
          <w:rFonts w:cs="Tahoma"/>
        </w:rPr>
        <w:t xml:space="preserve"> PROVISIONS FOR FLOOD HAZARD REDUCTION</w:t>
      </w:r>
    </w:p>
    <w:p w:rsidR="00D774D8" w:rsidRPr="00B16CE7" w:rsidRDefault="00D774D8" w:rsidP="00D774D8">
      <w:pPr>
        <w:autoSpaceDE w:val="0"/>
        <w:autoSpaceDN w:val="0"/>
        <w:adjustRightInd w:val="0"/>
        <w:ind w:firstLine="1000"/>
        <w:rPr>
          <w:rFonts w:cs="Tahoma"/>
        </w:rPr>
      </w:pPr>
    </w:p>
    <w:p w:rsidR="00D774D8" w:rsidRPr="00B16CE7" w:rsidRDefault="00D774D8" w:rsidP="00D774D8">
      <w:pPr>
        <w:autoSpaceDE w:val="0"/>
        <w:autoSpaceDN w:val="0"/>
        <w:adjustRightInd w:val="0"/>
        <w:rPr>
          <w:rFonts w:cs="Tahoma"/>
        </w:rPr>
      </w:pPr>
      <w:r w:rsidRPr="00B16CE7">
        <w:rPr>
          <w:rFonts w:cs="Tahoma"/>
        </w:rPr>
        <w:t xml:space="preserve">A copy of the referenced code </w:t>
      </w:r>
      <w:proofErr w:type="gramStart"/>
      <w:r w:rsidRPr="00B16CE7">
        <w:rPr>
          <w:rFonts w:cs="Tahoma"/>
        </w:rPr>
        <w:t>shall be filed</w:t>
      </w:r>
      <w:proofErr w:type="gramEnd"/>
      <w:r w:rsidRPr="00B16CE7">
        <w:rPr>
          <w:rFonts w:cs="Tahoma"/>
        </w:rPr>
        <w:t xml:space="preserve"> in the office of the </w:t>
      </w:r>
      <w:r w:rsidR="00C9293A">
        <w:rPr>
          <w:rFonts w:cs="Tahoma"/>
          <w:b/>
          <w:color w:val="0000FF"/>
          <w:highlight w:val="yellow"/>
        </w:rPr>
        <w:t>title of c</w:t>
      </w:r>
      <w:r w:rsidR="00C9293A">
        <w:rPr>
          <w:rFonts w:cs="Tahoma"/>
          <w:b/>
          <w:color w:val="0000FF"/>
          <w:highlight w:val="yellow"/>
        </w:rPr>
        <w:t xml:space="preserve">ommunity </w:t>
      </w:r>
      <w:r w:rsidR="00C9293A">
        <w:rPr>
          <w:rFonts w:cs="Tahoma"/>
          <w:b/>
          <w:color w:val="0000FF"/>
          <w:highlight w:val="yellow"/>
        </w:rPr>
        <w:t>official</w:t>
      </w:r>
      <w:r w:rsidR="00C9293A" w:rsidRPr="007431D2">
        <w:rPr>
          <w:rFonts w:cs="Tahoma"/>
          <w:b/>
        </w:rPr>
        <w:t>,</w:t>
      </w:r>
      <w:r w:rsidRPr="00B16CE7">
        <w:rPr>
          <w:rFonts w:cs="Tahoma"/>
        </w:rPr>
        <w:t xml:space="preserve"> and shall be available for inspection and copying by any person during normal office hours.</w:t>
      </w:r>
    </w:p>
    <w:p w:rsidR="00D774D8" w:rsidRPr="00DB7995" w:rsidRDefault="00D774D8" w:rsidP="00D774D8">
      <w:pPr>
        <w:autoSpaceDE w:val="0"/>
        <w:autoSpaceDN w:val="0"/>
        <w:adjustRightInd w:val="0"/>
        <w:rPr>
          <w:rFonts w:cs="Tahoma"/>
        </w:rPr>
      </w:pPr>
    </w:p>
    <w:p w:rsidR="00D774D8" w:rsidRPr="00231567" w:rsidRDefault="00D774D8" w:rsidP="00D774D8"/>
    <w:p w:rsidR="00D774D8" w:rsidRPr="00231567" w:rsidRDefault="00D774D8" w:rsidP="00D774D8">
      <w:proofErr w:type="gramStart"/>
      <w:r>
        <w:rPr>
          <w:b/>
        </w:rPr>
        <w:t>SECTION 7</w:t>
      </w:r>
      <w:r w:rsidRPr="00231567">
        <w:rPr>
          <w:b/>
        </w:rPr>
        <w:t>.</w:t>
      </w:r>
      <w:proofErr w:type="gramEnd"/>
      <w:r w:rsidRPr="00231567">
        <w:rPr>
          <w:b/>
        </w:rPr>
        <w:t xml:space="preserve">  </w:t>
      </w:r>
      <w:r w:rsidRPr="00231567">
        <w:rPr>
          <w:b/>
          <w:u w:val="single"/>
        </w:rPr>
        <w:t>ABROGATION AND GREATER RESTRICTIONS</w:t>
      </w:r>
    </w:p>
    <w:p w:rsidR="00D774D8" w:rsidRPr="00231567" w:rsidRDefault="00D774D8" w:rsidP="00D774D8"/>
    <w:p w:rsidR="00D774D8" w:rsidRPr="00231567" w:rsidRDefault="00D774D8" w:rsidP="00D774D8">
      <w:r w:rsidRPr="005535EE">
        <w:t xml:space="preserve">This </w:t>
      </w:r>
      <w:r>
        <w:t>ordinance</w:t>
      </w:r>
      <w:r w:rsidRPr="005535EE">
        <w:t xml:space="preserve"> does not repeal, abrogate, or impair any existing easements, covenants, or deed restrictions. </w:t>
      </w:r>
      <w:r>
        <w:t xml:space="preserve"> Whenever there is a conflict or</w:t>
      </w:r>
      <w:r w:rsidRPr="005535EE">
        <w:t xml:space="preserve"> overlap between this </w:t>
      </w:r>
      <w:r>
        <w:t>ordinance</w:t>
      </w:r>
      <w:r w:rsidRPr="005535EE">
        <w:t xml:space="preserve"> and another </w:t>
      </w:r>
      <w:r>
        <w:t>ordinance</w:t>
      </w:r>
      <w:r w:rsidRPr="005535EE">
        <w:t>, easement, covenant, or deed restriction, the instrument with the more stringent restrictions applies</w:t>
      </w:r>
      <w:r>
        <w:t>.</w:t>
      </w:r>
    </w:p>
    <w:p w:rsidR="00D774D8" w:rsidRDefault="00D774D8" w:rsidP="00D774D8">
      <w:pPr>
        <w:rPr>
          <w:b/>
        </w:rPr>
      </w:pPr>
    </w:p>
    <w:p w:rsidR="00D774D8" w:rsidRPr="00231567" w:rsidRDefault="00D774D8" w:rsidP="00D774D8">
      <w:pPr>
        <w:rPr>
          <w:b/>
        </w:rPr>
      </w:pPr>
    </w:p>
    <w:p w:rsidR="00D774D8" w:rsidRPr="00231567" w:rsidRDefault="00D774D8" w:rsidP="00D774D8">
      <w:proofErr w:type="gramStart"/>
      <w:r>
        <w:rPr>
          <w:b/>
        </w:rPr>
        <w:t>SECTION 8</w:t>
      </w:r>
      <w:r w:rsidRPr="00231567">
        <w:rPr>
          <w:b/>
        </w:rPr>
        <w:t>.</w:t>
      </w:r>
      <w:proofErr w:type="gramEnd"/>
      <w:r w:rsidRPr="00231567">
        <w:rPr>
          <w:b/>
        </w:rPr>
        <w:t xml:space="preserve">  </w:t>
      </w:r>
      <w:r w:rsidRPr="00231567">
        <w:rPr>
          <w:b/>
          <w:u w:val="single"/>
        </w:rPr>
        <w:t>INTERPRETATION</w:t>
      </w:r>
    </w:p>
    <w:p w:rsidR="00D774D8" w:rsidRPr="00231567" w:rsidRDefault="00D774D8" w:rsidP="00D774D8"/>
    <w:p w:rsidR="00D774D8" w:rsidRDefault="00D774D8" w:rsidP="00D774D8">
      <w:r w:rsidRPr="00231567">
        <w:t xml:space="preserve">In the interpretation and application of this </w:t>
      </w:r>
      <w:r>
        <w:t>ordinance, all provisions must:</w:t>
      </w:r>
      <w:r w:rsidRPr="00231567">
        <w:t xml:space="preserve"> </w:t>
      </w:r>
    </w:p>
    <w:p w:rsidR="00D774D8" w:rsidRDefault="00D774D8" w:rsidP="00D774D8"/>
    <w:p w:rsidR="00D774D8" w:rsidRDefault="00D774D8" w:rsidP="00C9293A">
      <w:pPr>
        <w:pStyle w:val="ListParagraph"/>
        <w:numPr>
          <w:ilvl w:val="0"/>
          <w:numId w:val="19"/>
        </w:numPr>
        <w:spacing w:after="120"/>
        <w:contextualSpacing w:val="0"/>
      </w:pPr>
      <w:r>
        <w:t xml:space="preserve">Be </w:t>
      </w:r>
      <w:r w:rsidRPr="00231567">
        <w:t xml:space="preserve">considered as minimum requirements; </w:t>
      </w:r>
    </w:p>
    <w:p w:rsidR="00D774D8" w:rsidRDefault="00D774D8" w:rsidP="00C9293A">
      <w:pPr>
        <w:pStyle w:val="ListParagraph"/>
        <w:numPr>
          <w:ilvl w:val="0"/>
          <w:numId w:val="19"/>
        </w:numPr>
        <w:spacing w:after="120"/>
        <w:contextualSpacing w:val="0"/>
      </w:pPr>
      <w:r>
        <w:t xml:space="preserve">Be </w:t>
      </w:r>
      <w:r w:rsidRPr="00231567">
        <w:t xml:space="preserve">liberally construed in favor of the governing body; and </w:t>
      </w:r>
    </w:p>
    <w:p w:rsidR="00D774D8" w:rsidRPr="00231567" w:rsidRDefault="00D774D8" w:rsidP="00C9293A">
      <w:pPr>
        <w:pStyle w:val="ListParagraph"/>
        <w:numPr>
          <w:ilvl w:val="0"/>
          <w:numId w:val="19"/>
        </w:numPr>
        <w:spacing w:after="120"/>
        <w:contextualSpacing w:val="0"/>
      </w:pPr>
      <w:r>
        <w:t xml:space="preserve">Be </w:t>
      </w:r>
      <w:r w:rsidRPr="00231567">
        <w:t>deemed to neither limit nor repeal any other powers granted under State statutes.</w:t>
      </w:r>
    </w:p>
    <w:p w:rsidR="00D774D8" w:rsidRDefault="00D774D8" w:rsidP="00D774D8"/>
    <w:p w:rsidR="00D774D8" w:rsidRPr="00231567" w:rsidRDefault="00D774D8" w:rsidP="00D774D8"/>
    <w:p w:rsidR="00D774D8" w:rsidRPr="00231567" w:rsidRDefault="00D774D8" w:rsidP="00D774D8">
      <w:proofErr w:type="gramStart"/>
      <w:r>
        <w:rPr>
          <w:b/>
        </w:rPr>
        <w:t>SECTION 9</w:t>
      </w:r>
      <w:r w:rsidRPr="00231567">
        <w:rPr>
          <w:b/>
        </w:rPr>
        <w:t>.</w:t>
      </w:r>
      <w:proofErr w:type="gramEnd"/>
      <w:r w:rsidRPr="00231567">
        <w:rPr>
          <w:b/>
        </w:rPr>
        <w:t xml:space="preserve">  </w:t>
      </w:r>
      <w:r w:rsidRPr="00231567">
        <w:rPr>
          <w:b/>
          <w:u w:val="single"/>
        </w:rPr>
        <w:t>WARNING AND DISCLAIMER O</w:t>
      </w:r>
      <w:r>
        <w:rPr>
          <w:b/>
          <w:u w:val="single"/>
        </w:rPr>
        <w:t>F</w:t>
      </w:r>
      <w:r w:rsidRPr="00231567">
        <w:rPr>
          <w:b/>
          <w:u w:val="single"/>
        </w:rPr>
        <w:t xml:space="preserve"> LIABILITY</w:t>
      </w:r>
    </w:p>
    <w:p w:rsidR="00D774D8" w:rsidRPr="00231567" w:rsidRDefault="00D774D8" w:rsidP="00D774D8"/>
    <w:p w:rsidR="00D774D8" w:rsidRDefault="00D774D8" w:rsidP="00D774D8">
      <w:r>
        <w:t>Th</w:t>
      </w:r>
      <w:r w:rsidRPr="00231567">
        <w:t xml:space="preserve">e degree of flood protection required by this </w:t>
      </w:r>
      <w:r>
        <w:t>ordinance</w:t>
      </w:r>
      <w:r w:rsidRPr="00231567">
        <w:t xml:space="preserve"> </w:t>
      </w:r>
      <w:proofErr w:type="gramStart"/>
      <w:r>
        <w:t>is considered</w:t>
      </w:r>
      <w:proofErr w:type="gramEnd"/>
      <w:r>
        <w:t xml:space="preserve"> </w:t>
      </w:r>
      <w:r w:rsidRPr="00231567">
        <w:t>reasonable for regulatory purposes</w:t>
      </w:r>
      <w:r>
        <w:t xml:space="preserve">.  Documented </w:t>
      </w:r>
      <w:r w:rsidRPr="00231567">
        <w:t>scientific</w:t>
      </w:r>
      <w:r>
        <w:t xml:space="preserve"> and </w:t>
      </w:r>
      <w:r w:rsidRPr="00231567">
        <w:t>engineering</w:t>
      </w:r>
      <w:r>
        <w:t xml:space="preserve"> data form the basis for these requirements</w:t>
      </w:r>
      <w:r w:rsidRPr="00231567">
        <w:t xml:space="preserve">.  </w:t>
      </w:r>
      <w:r>
        <w:t>O</w:t>
      </w:r>
      <w:r w:rsidRPr="00231567">
        <w:t xml:space="preserve">n rare occasions, </w:t>
      </w:r>
      <w:r>
        <w:t xml:space="preserve">flooding events greater than those considered for this ordinance </w:t>
      </w:r>
      <w:r w:rsidRPr="00231567">
        <w:t>will occur</w:t>
      </w:r>
      <w:r>
        <w:t xml:space="preserve">.  In addition, </w:t>
      </w:r>
      <w:r w:rsidRPr="00231567">
        <w:t xml:space="preserve">flood heights may increase </w:t>
      </w:r>
      <w:r>
        <w:t xml:space="preserve">over time due to </w:t>
      </w:r>
      <w:proofErr w:type="gramStart"/>
      <w:r w:rsidRPr="00231567">
        <w:t>man-made</w:t>
      </w:r>
      <w:proofErr w:type="gramEnd"/>
      <w:r w:rsidRPr="00231567">
        <w:t xml:space="preserve"> or natural causes.  This </w:t>
      </w:r>
      <w:r>
        <w:t>ordinance</w:t>
      </w:r>
      <w:r w:rsidRPr="00231567">
        <w:t xml:space="preserve"> does not imply that land outside </w:t>
      </w:r>
      <w:r>
        <w:t>Special Flood Hazard Area</w:t>
      </w:r>
      <w:r w:rsidRPr="00231567">
        <w:t>s</w:t>
      </w:r>
      <w:r>
        <w:t xml:space="preserve"> </w:t>
      </w:r>
      <w:r w:rsidRPr="00231567">
        <w:t>will be free from flooding</w:t>
      </w:r>
      <w:r>
        <w:t>,</w:t>
      </w:r>
      <w:r w:rsidRPr="00231567">
        <w:t xml:space="preserve"> </w:t>
      </w:r>
      <w:r>
        <w:t>n</w:t>
      </w:r>
      <w:r w:rsidRPr="00231567">
        <w:t xml:space="preserve">or </w:t>
      </w:r>
      <w:r>
        <w:t>that strict adherence to this ordinance protects uses</w:t>
      </w:r>
      <w:r w:rsidRPr="00231567">
        <w:t xml:space="preserve"> permitted within </w:t>
      </w:r>
      <w:r>
        <w:t>Special Flood Hazard Area</w:t>
      </w:r>
      <w:r w:rsidRPr="00231567">
        <w:t xml:space="preserve">s </w:t>
      </w:r>
      <w:r>
        <w:t>from all flood damages</w:t>
      </w:r>
      <w:r w:rsidRPr="00231567">
        <w:t xml:space="preserve">.  This </w:t>
      </w:r>
      <w:r>
        <w:t>ordinance</w:t>
      </w:r>
      <w:r w:rsidRPr="00231567">
        <w:t xml:space="preserve"> </w:t>
      </w:r>
      <w:r>
        <w:t xml:space="preserve">specifically does </w:t>
      </w:r>
      <w:r w:rsidRPr="00231567">
        <w:t>not create liability on the part of the community</w:t>
      </w:r>
      <w:r>
        <w:t>,</w:t>
      </w:r>
      <w:r w:rsidRPr="00231567">
        <w:t xml:space="preserve"> </w:t>
      </w:r>
      <w:r>
        <w:t>n</w:t>
      </w:r>
      <w:r w:rsidRPr="00231567">
        <w:t xml:space="preserve">or any official or employee </w:t>
      </w:r>
      <w:r>
        <w:t>of the community,</w:t>
      </w:r>
      <w:r w:rsidRPr="00231567">
        <w:t xml:space="preserve"> for any flood damages that result </w:t>
      </w:r>
      <w:r>
        <w:t>while</w:t>
      </w:r>
      <w:r w:rsidRPr="00231567">
        <w:t xml:space="preserve"> </w:t>
      </w:r>
      <w:r>
        <w:t>strictly following this ordinance,</w:t>
      </w:r>
      <w:r w:rsidRPr="00231567">
        <w:t xml:space="preserve"> or </w:t>
      </w:r>
      <w:r>
        <w:t xml:space="preserve">from </w:t>
      </w:r>
      <w:r w:rsidRPr="00231567">
        <w:t xml:space="preserve">any </w:t>
      </w:r>
      <w:r>
        <w:t xml:space="preserve">lawful </w:t>
      </w:r>
      <w:r w:rsidRPr="00231567">
        <w:t>administrative decision made under</w:t>
      </w:r>
      <w:r>
        <w:t xml:space="preserve"> the provisions of this ordinance</w:t>
      </w:r>
      <w:r w:rsidRPr="00231567">
        <w:t>.</w:t>
      </w:r>
    </w:p>
    <w:p w:rsidR="00CD6C31" w:rsidRDefault="00CD6C31">
      <w:pPr>
        <w:tabs>
          <w:tab w:val="clear" w:pos="360"/>
          <w:tab w:val="clear" w:pos="480"/>
          <w:tab w:val="clear" w:pos="720"/>
          <w:tab w:val="clear" w:pos="1080"/>
          <w:tab w:val="clear" w:pos="1440"/>
          <w:tab w:val="clear" w:pos="1800"/>
        </w:tabs>
        <w:suppressAutoHyphens w:val="0"/>
        <w:rPr>
          <w:b/>
        </w:rPr>
      </w:pPr>
      <w:r>
        <w:rPr>
          <w:b/>
        </w:rPr>
        <w:br w:type="page"/>
      </w:r>
    </w:p>
    <w:p w:rsidR="00D774D8" w:rsidRPr="00231567" w:rsidRDefault="00D774D8" w:rsidP="00D774D8">
      <w:proofErr w:type="gramStart"/>
      <w:r>
        <w:rPr>
          <w:b/>
        </w:rPr>
        <w:lastRenderedPageBreak/>
        <w:t>SECTION 10</w:t>
      </w:r>
      <w:r w:rsidRPr="00231567">
        <w:rPr>
          <w:b/>
        </w:rPr>
        <w:t>.</w:t>
      </w:r>
      <w:proofErr w:type="gramEnd"/>
      <w:r w:rsidRPr="00231567">
        <w:rPr>
          <w:b/>
        </w:rPr>
        <w:t xml:space="preserve">  </w:t>
      </w:r>
      <w:r w:rsidRPr="00231567">
        <w:rPr>
          <w:b/>
          <w:u w:val="single"/>
        </w:rPr>
        <w:t>COMPLIANCE</w:t>
      </w:r>
    </w:p>
    <w:p w:rsidR="00D774D8" w:rsidRPr="00231567" w:rsidRDefault="00D774D8" w:rsidP="00D774D8"/>
    <w:p w:rsidR="00D774D8" w:rsidRPr="00231567" w:rsidRDefault="00D774D8" w:rsidP="00D774D8">
      <w:r>
        <w:t xml:space="preserve">Constructing, locating, substantially altering or changing the use of any structure or land after the effective date of this ordinance requires </w:t>
      </w:r>
      <w:r w:rsidRPr="00231567">
        <w:t xml:space="preserve">full compliance with the </w:t>
      </w:r>
      <w:r>
        <w:t>provisions</w:t>
      </w:r>
      <w:r w:rsidRPr="00231567">
        <w:t xml:space="preserve"> of this </w:t>
      </w:r>
      <w:r>
        <w:t>ordinance</w:t>
      </w:r>
      <w:r w:rsidRPr="00231567">
        <w:t xml:space="preserve"> and </w:t>
      </w:r>
      <w:r>
        <w:t xml:space="preserve">all </w:t>
      </w:r>
      <w:r w:rsidRPr="00231567">
        <w:t>other applicable regulations.</w:t>
      </w:r>
    </w:p>
    <w:p w:rsidR="00D774D8" w:rsidRDefault="00D774D8" w:rsidP="00D774D8"/>
    <w:p w:rsidR="00CD6C31" w:rsidRPr="00231567" w:rsidRDefault="00CD6C31" w:rsidP="00D774D8"/>
    <w:p w:rsidR="00D774D8" w:rsidRPr="00ED2663" w:rsidRDefault="00D774D8" w:rsidP="00D774D8">
      <w:proofErr w:type="gramStart"/>
      <w:r>
        <w:rPr>
          <w:b/>
        </w:rPr>
        <w:t>SECTION 11</w:t>
      </w:r>
      <w:r w:rsidRPr="00ED2663">
        <w:rPr>
          <w:b/>
        </w:rPr>
        <w:t>.</w:t>
      </w:r>
      <w:proofErr w:type="gramEnd"/>
      <w:r w:rsidRPr="00ED2663">
        <w:rPr>
          <w:b/>
        </w:rPr>
        <w:t xml:space="preserve">  </w:t>
      </w:r>
      <w:r>
        <w:rPr>
          <w:b/>
          <w:u w:val="single"/>
        </w:rPr>
        <w:t>PENALTY FOR NON-COMPLIANCE</w:t>
      </w:r>
    </w:p>
    <w:p w:rsidR="00D774D8" w:rsidRPr="00ED2663" w:rsidRDefault="00D774D8" w:rsidP="00D774D8">
      <w:pPr>
        <w:pStyle w:val="BodyText"/>
        <w:rPr>
          <w:rFonts w:ascii="Times New Roman" w:hAnsi="Times New Roman"/>
        </w:rPr>
      </w:pPr>
    </w:p>
    <w:p w:rsidR="00D774D8" w:rsidRDefault="00D774D8" w:rsidP="00D774D8">
      <w:r>
        <w:t xml:space="preserve">Flood hazards </w:t>
      </w:r>
      <w:proofErr w:type="gramStart"/>
      <w:r>
        <w:t>are reduced</w:t>
      </w:r>
      <w:proofErr w:type="gramEnd"/>
      <w:r>
        <w:t xml:space="preserve"> by compliance with the provisions of this code.   Accordingly, enforcement of this ordinance discourages non-compliance and is a recognized mechanism for flood hazard reduction.</w:t>
      </w:r>
    </w:p>
    <w:p w:rsidR="00D774D8" w:rsidRDefault="00D774D8" w:rsidP="00D774D8"/>
    <w:p w:rsidR="00D774D8" w:rsidRDefault="00D774D8" w:rsidP="00D774D8">
      <w:pPr>
        <w:tabs>
          <w:tab w:val="num" w:pos="900"/>
        </w:tabs>
      </w:pPr>
      <w:r w:rsidRPr="00334E60">
        <w:t xml:space="preserve">The </w:t>
      </w:r>
      <w:r>
        <w:t xml:space="preserve">Floodplain Administrator must enforce the provisions of this ordinance and </w:t>
      </w:r>
      <w:proofErr w:type="gramStart"/>
      <w:r>
        <w:t>is au</w:t>
      </w:r>
      <w:r w:rsidR="00CD6C31">
        <w:t>thorized</w:t>
      </w:r>
      <w:proofErr w:type="gramEnd"/>
      <w:r w:rsidR="00CD6C31">
        <w:t xml:space="preserve"> to:</w:t>
      </w:r>
    </w:p>
    <w:p w:rsidR="00D774D8" w:rsidRDefault="00D774D8" w:rsidP="00D774D8">
      <w:pPr>
        <w:tabs>
          <w:tab w:val="num" w:pos="900"/>
        </w:tabs>
        <w:ind w:left="1080"/>
      </w:pPr>
    </w:p>
    <w:p w:rsidR="00D774D8" w:rsidRDefault="00D774D8" w:rsidP="00CD6C31">
      <w:pPr>
        <w:numPr>
          <w:ilvl w:val="0"/>
          <w:numId w:val="18"/>
        </w:numPr>
        <w:tabs>
          <w:tab w:val="clear" w:pos="720"/>
          <w:tab w:val="clear" w:pos="1440"/>
          <w:tab w:val="clear" w:pos="1800"/>
          <w:tab w:val="num" w:pos="900"/>
        </w:tabs>
        <w:spacing w:after="120"/>
      </w:pPr>
      <w:r>
        <w:t>Issue cease and desist orders on non-compliant floodplain development projects;</w:t>
      </w:r>
    </w:p>
    <w:p w:rsidR="00D774D8" w:rsidRDefault="00D774D8" w:rsidP="00CD6C31">
      <w:pPr>
        <w:numPr>
          <w:ilvl w:val="0"/>
          <w:numId w:val="18"/>
        </w:numPr>
        <w:tabs>
          <w:tab w:val="clear" w:pos="720"/>
          <w:tab w:val="clear" w:pos="1440"/>
          <w:tab w:val="clear" w:pos="1800"/>
          <w:tab w:val="num" w:pos="900"/>
        </w:tabs>
        <w:spacing w:after="120"/>
      </w:pPr>
      <w:r>
        <w:t xml:space="preserve">Issue citations for non-compliance; </w:t>
      </w:r>
    </w:p>
    <w:p w:rsidR="00D774D8" w:rsidRDefault="00D774D8" w:rsidP="00CD6C31">
      <w:pPr>
        <w:numPr>
          <w:ilvl w:val="0"/>
          <w:numId w:val="18"/>
        </w:numPr>
        <w:tabs>
          <w:tab w:val="clear" w:pos="720"/>
          <w:tab w:val="clear" w:pos="1440"/>
          <w:tab w:val="clear" w:pos="1800"/>
          <w:tab w:val="num" w:pos="900"/>
        </w:tabs>
        <w:spacing w:after="120"/>
      </w:pPr>
      <w:r>
        <w:t xml:space="preserve">Request that FEMA file a 1316 Action (Denial of Flood Insurance) against non-compliant properties; and </w:t>
      </w:r>
    </w:p>
    <w:p w:rsidR="00D774D8" w:rsidRDefault="00D774D8" w:rsidP="00CD6C31">
      <w:pPr>
        <w:numPr>
          <w:ilvl w:val="0"/>
          <w:numId w:val="18"/>
        </w:numPr>
        <w:tabs>
          <w:tab w:val="clear" w:pos="720"/>
          <w:tab w:val="clear" w:pos="1440"/>
          <w:tab w:val="clear" w:pos="1800"/>
          <w:tab w:val="num" w:pos="900"/>
        </w:tabs>
        <w:spacing w:after="120"/>
      </w:pPr>
      <w:r>
        <w:t>Take</w:t>
      </w:r>
      <w:r w:rsidRPr="00014F3A">
        <w:t xml:space="preserve"> </w:t>
      </w:r>
      <w:r>
        <w:t>any</w:t>
      </w:r>
      <w:r w:rsidRPr="00014F3A">
        <w:t xml:space="preserve"> other lawful action necessary to prevent or remedy any </w:t>
      </w:r>
      <w:r>
        <w:t>instance of non-compliance with the provisions of this ordinance.</w:t>
      </w:r>
    </w:p>
    <w:p w:rsidR="00D774D8" w:rsidRDefault="00D774D8" w:rsidP="00CD6C31">
      <w:pPr>
        <w:numPr>
          <w:ilvl w:val="0"/>
          <w:numId w:val="17"/>
        </w:numPr>
        <w:tabs>
          <w:tab w:val="clear" w:pos="360"/>
          <w:tab w:val="clear" w:pos="480"/>
          <w:tab w:val="clear" w:pos="720"/>
          <w:tab w:val="clear" w:pos="1440"/>
          <w:tab w:val="clear" w:pos="1800"/>
          <w:tab w:val="left" w:pos="400"/>
          <w:tab w:val="num" w:pos="900"/>
        </w:tabs>
        <w:spacing w:after="120"/>
        <w:ind w:left="900" w:hanging="500"/>
      </w:pPr>
      <w:r>
        <w:t>It is a misdemeanor to violate or fail to comply with any provision of this ordinance.</w:t>
      </w:r>
    </w:p>
    <w:p w:rsidR="00D774D8" w:rsidRDefault="00D774D8" w:rsidP="00CD6C31">
      <w:pPr>
        <w:numPr>
          <w:ilvl w:val="0"/>
          <w:numId w:val="17"/>
        </w:numPr>
        <w:tabs>
          <w:tab w:val="clear" w:pos="360"/>
          <w:tab w:val="clear" w:pos="480"/>
          <w:tab w:val="clear" w:pos="720"/>
          <w:tab w:val="clear" w:pos="1440"/>
          <w:tab w:val="clear" w:pos="1800"/>
          <w:tab w:val="left" w:pos="400"/>
          <w:tab w:val="num" w:pos="900"/>
        </w:tabs>
        <w:spacing w:after="120"/>
        <w:ind w:left="900" w:hanging="500"/>
      </w:pPr>
      <w:r>
        <w:t xml:space="preserve">Any person found, in a court of competent jurisdiction, guilty of violating this ordinance is subject to fines of </w:t>
      </w:r>
      <w:r w:rsidRPr="003B0C7B">
        <w:t xml:space="preserve">not more than $500 per day </w:t>
      </w:r>
      <w:r>
        <w:t>for each violation; in addition the defendant is subject to payment of all associated court costs and costs involved in the case.</w:t>
      </w:r>
    </w:p>
    <w:p w:rsidR="00CD6C31" w:rsidRDefault="00CD6C31" w:rsidP="00D774D8">
      <w:pPr>
        <w:rPr>
          <w:b/>
        </w:rPr>
      </w:pPr>
    </w:p>
    <w:p w:rsidR="00CD6C31" w:rsidRDefault="00CD6C31" w:rsidP="00D774D8">
      <w:pPr>
        <w:rPr>
          <w:b/>
        </w:rPr>
      </w:pPr>
    </w:p>
    <w:p w:rsidR="00D774D8" w:rsidRPr="00ED2663" w:rsidRDefault="00D774D8" w:rsidP="00D774D8">
      <w:proofErr w:type="gramStart"/>
      <w:r w:rsidRPr="00ED2663">
        <w:rPr>
          <w:b/>
        </w:rPr>
        <w:t xml:space="preserve">SECTION </w:t>
      </w:r>
      <w:r>
        <w:rPr>
          <w:b/>
        </w:rPr>
        <w:t>12</w:t>
      </w:r>
      <w:r w:rsidRPr="00ED2663">
        <w:rPr>
          <w:b/>
        </w:rPr>
        <w:t>.</w:t>
      </w:r>
      <w:proofErr w:type="gramEnd"/>
      <w:r w:rsidRPr="00ED2663">
        <w:rPr>
          <w:b/>
        </w:rPr>
        <w:t xml:space="preserve">  </w:t>
      </w:r>
      <w:r>
        <w:rPr>
          <w:b/>
          <w:u w:val="single"/>
        </w:rPr>
        <w:t>SEVERABILITY</w:t>
      </w:r>
    </w:p>
    <w:p w:rsidR="00D774D8" w:rsidRPr="00F4251B" w:rsidRDefault="00D774D8" w:rsidP="00D774D8">
      <w:pPr>
        <w:pStyle w:val="Heading2"/>
        <w:jc w:val="left"/>
      </w:pPr>
    </w:p>
    <w:p w:rsidR="00D774D8" w:rsidRPr="00F4251B" w:rsidRDefault="00D774D8" w:rsidP="004F0A11">
      <w:r w:rsidRPr="00F4251B">
        <w:t xml:space="preserve">If any court of competent jurisdiction </w:t>
      </w:r>
      <w:r>
        <w:t xml:space="preserve">finds that </w:t>
      </w:r>
      <w:r w:rsidRPr="00F4251B">
        <w:t xml:space="preserve">any section, clause, sentence, or phrase of this </w:t>
      </w:r>
      <w:r w:rsidRPr="00BA19B4">
        <w:t>ordinance</w:t>
      </w:r>
      <w:r w:rsidRPr="00F4251B">
        <w:t xml:space="preserve"> is invalid or unconstitutional</w:t>
      </w:r>
      <w:r>
        <w:t>, that finding</w:t>
      </w:r>
      <w:r w:rsidRPr="00F4251B">
        <w:t xml:space="preserve"> in no way affect</w:t>
      </w:r>
      <w:r>
        <w:t>s</w:t>
      </w:r>
      <w:r w:rsidRPr="00F4251B">
        <w:t xml:space="preserve"> the validity of the remaining portions of this </w:t>
      </w:r>
      <w:r w:rsidRPr="00BA19B4">
        <w:t>ordinance</w:t>
      </w:r>
      <w:r w:rsidRPr="00F4251B">
        <w:t>.</w:t>
      </w:r>
    </w:p>
    <w:p w:rsidR="00D774D8" w:rsidRDefault="00D774D8" w:rsidP="00D774D8">
      <w:pPr>
        <w:autoSpaceDE w:val="0"/>
        <w:autoSpaceDN w:val="0"/>
        <w:adjustRightInd w:val="0"/>
      </w:pPr>
    </w:p>
    <w:p w:rsidR="00CD6C31" w:rsidRDefault="00CD6C31" w:rsidP="00D774D8">
      <w:pPr>
        <w:autoSpaceDE w:val="0"/>
        <w:autoSpaceDN w:val="0"/>
        <w:adjustRightInd w:val="0"/>
      </w:pPr>
    </w:p>
    <w:p w:rsidR="00D774D8" w:rsidRPr="00BA19B4" w:rsidRDefault="00D774D8" w:rsidP="00D774D8">
      <w:pPr>
        <w:autoSpaceDE w:val="0"/>
        <w:autoSpaceDN w:val="0"/>
        <w:adjustRightInd w:val="0"/>
        <w:rPr>
          <w:b/>
        </w:rPr>
      </w:pPr>
      <w:proofErr w:type="gramStart"/>
      <w:r>
        <w:rPr>
          <w:b/>
        </w:rPr>
        <w:t>SECTION 13</w:t>
      </w:r>
      <w:r w:rsidRPr="00BA19B4">
        <w:rPr>
          <w:b/>
        </w:rPr>
        <w:t>.</w:t>
      </w:r>
      <w:proofErr w:type="gramEnd"/>
      <w:r w:rsidRPr="00BA19B4">
        <w:rPr>
          <w:b/>
        </w:rPr>
        <w:t xml:space="preserve"> EMERGENCY CLAUSE</w:t>
      </w:r>
    </w:p>
    <w:p w:rsidR="00D774D8" w:rsidRDefault="00D774D8" w:rsidP="00D774D8">
      <w:pPr>
        <w:autoSpaceDE w:val="0"/>
        <w:autoSpaceDN w:val="0"/>
        <w:adjustRightInd w:val="0"/>
      </w:pPr>
    </w:p>
    <w:p w:rsidR="00D774D8" w:rsidRPr="004C5CFB" w:rsidRDefault="00D774D8" w:rsidP="00D774D8">
      <w:pPr>
        <w:autoSpaceDE w:val="0"/>
        <w:autoSpaceDN w:val="0"/>
        <w:adjustRightInd w:val="0"/>
      </w:pPr>
      <w:proofErr w:type="gramStart"/>
      <w:r w:rsidRPr="004C5CFB">
        <w:t xml:space="preserve">It is hereby found and declared by </w:t>
      </w:r>
      <w:r w:rsidR="00C975FC">
        <w:rPr>
          <w:rFonts w:cs="Tahoma"/>
          <w:b/>
          <w:color w:val="0000FF"/>
          <w:highlight w:val="yellow"/>
        </w:rPr>
        <w:t>community name</w:t>
      </w:r>
      <w:r w:rsidR="00C975FC" w:rsidRPr="00B16CE7">
        <w:t xml:space="preserve"> </w:t>
      </w:r>
      <w:r w:rsidRPr="004C5CFB">
        <w:t xml:space="preserve">that severe flooding has occurred in the past within its jurisdiction and will certainly occur within the future; that flooding is likely to result in infliction of serious personal injury or death, and is likely to result in substantial injury or destruction of property within its jurisdiction; in order to effectively comply with minimum standards for coverage under the National Flood Insurance Program; and in order to effectively </w:t>
      </w:r>
      <w:r w:rsidRPr="004C5CFB">
        <w:lastRenderedPageBreak/>
        <w:t>remedy the situation described herein, it is necessary that this ordinance become effective immediately.</w:t>
      </w:r>
      <w:proofErr w:type="gramEnd"/>
    </w:p>
    <w:p w:rsidR="00D774D8" w:rsidRPr="004C5CFB" w:rsidRDefault="00D774D8" w:rsidP="00D774D8">
      <w:pPr>
        <w:autoSpaceDE w:val="0"/>
        <w:autoSpaceDN w:val="0"/>
        <w:adjustRightInd w:val="0"/>
        <w:ind w:left="907" w:firstLine="93"/>
      </w:pPr>
    </w:p>
    <w:p w:rsidR="00D774D8" w:rsidRPr="004C5CFB" w:rsidRDefault="00D774D8" w:rsidP="00D774D8">
      <w:pPr>
        <w:autoSpaceDE w:val="0"/>
        <w:autoSpaceDN w:val="0"/>
        <w:adjustRightInd w:val="0"/>
      </w:pPr>
      <w:r w:rsidRPr="004C5CFB">
        <w:t xml:space="preserve">Therefore, an emergency </w:t>
      </w:r>
      <w:proofErr w:type="gramStart"/>
      <w:r w:rsidRPr="004C5CFB">
        <w:t>is hereby declared</w:t>
      </w:r>
      <w:proofErr w:type="gramEnd"/>
      <w:r w:rsidRPr="004C5CFB">
        <w:t xml:space="preserve"> to exist, and this ordinance, being necessary for the immediate preservation of the public peace, health and safety, shall be in full force and effect from and after its passage and approval.</w:t>
      </w:r>
    </w:p>
    <w:p w:rsidR="00D774D8" w:rsidRPr="004C5CFB" w:rsidRDefault="00D774D8" w:rsidP="00D774D8">
      <w:pPr>
        <w:autoSpaceDE w:val="0"/>
        <w:autoSpaceDN w:val="0"/>
        <w:adjustRightInd w:val="0"/>
      </w:pPr>
    </w:p>
    <w:p w:rsidR="00D774D8" w:rsidRDefault="00D774D8" w:rsidP="00D774D8"/>
    <w:tbl>
      <w:tblPr>
        <w:tblW w:w="9576" w:type="dxa"/>
        <w:jc w:val="center"/>
        <w:tblLayout w:type="fixed"/>
        <w:tblCellMar>
          <w:left w:w="0" w:type="dxa"/>
          <w:right w:w="0" w:type="dxa"/>
        </w:tblCellMar>
        <w:tblLook w:val="04A0" w:firstRow="1" w:lastRow="0" w:firstColumn="1" w:lastColumn="0" w:noHBand="0" w:noVBand="1"/>
      </w:tblPr>
      <w:tblGrid>
        <w:gridCol w:w="1818"/>
        <w:gridCol w:w="3150"/>
        <w:gridCol w:w="810"/>
        <w:gridCol w:w="297"/>
        <w:gridCol w:w="1503"/>
        <w:gridCol w:w="1998"/>
      </w:tblGrid>
      <w:tr w:rsidR="00D774D8" w:rsidTr="002626A2">
        <w:trPr>
          <w:jc w:val="center"/>
        </w:trPr>
        <w:tc>
          <w:tcPr>
            <w:tcW w:w="4968" w:type="dxa"/>
            <w:gridSpan w:val="2"/>
            <w:shd w:val="clear" w:color="auto" w:fill="auto"/>
          </w:tcPr>
          <w:p w:rsidR="00D774D8" w:rsidRDefault="00D774D8" w:rsidP="002626A2">
            <w:pPr>
              <w:jc w:val="right"/>
            </w:pPr>
            <w:r w:rsidRPr="004556AB">
              <w:t>APPROVED:</w:t>
            </w:r>
          </w:p>
        </w:tc>
        <w:tc>
          <w:tcPr>
            <w:tcW w:w="4608" w:type="dxa"/>
            <w:gridSpan w:val="4"/>
            <w:tcBorders>
              <w:bottom w:val="single" w:sz="4" w:space="0" w:color="auto"/>
            </w:tcBorders>
            <w:shd w:val="clear" w:color="auto" w:fill="auto"/>
          </w:tcPr>
          <w:p w:rsidR="00D774D8" w:rsidRDefault="00D774D8" w:rsidP="002626A2"/>
        </w:tc>
      </w:tr>
      <w:tr w:rsidR="00D774D8" w:rsidTr="002626A2">
        <w:trPr>
          <w:trHeight w:hRule="exact" w:val="720"/>
          <w:jc w:val="center"/>
        </w:trPr>
        <w:tc>
          <w:tcPr>
            <w:tcW w:w="1818" w:type="dxa"/>
            <w:shd w:val="clear" w:color="auto" w:fill="auto"/>
          </w:tcPr>
          <w:p w:rsidR="00D774D8" w:rsidRDefault="00D774D8" w:rsidP="002626A2"/>
        </w:tc>
        <w:tc>
          <w:tcPr>
            <w:tcW w:w="3150" w:type="dxa"/>
            <w:shd w:val="clear" w:color="auto" w:fill="auto"/>
          </w:tcPr>
          <w:p w:rsidR="00D774D8" w:rsidRDefault="00D774D8" w:rsidP="002626A2"/>
        </w:tc>
        <w:tc>
          <w:tcPr>
            <w:tcW w:w="4608" w:type="dxa"/>
            <w:gridSpan w:val="4"/>
            <w:tcBorders>
              <w:top w:val="single" w:sz="4" w:space="0" w:color="auto"/>
            </w:tcBorders>
            <w:shd w:val="clear" w:color="auto" w:fill="auto"/>
          </w:tcPr>
          <w:p w:rsidR="00D774D8" w:rsidRDefault="00D774D8" w:rsidP="00CD6C31">
            <w:pPr>
              <w:jc w:val="center"/>
            </w:pPr>
            <w:r w:rsidRPr="004556AB">
              <w:t>(</w:t>
            </w:r>
            <w:r w:rsidR="00CD6C31">
              <w:t>Local Official</w:t>
            </w:r>
            <w:r w:rsidRPr="004556AB">
              <w:t>)</w:t>
            </w:r>
          </w:p>
        </w:tc>
      </w:tr>
      <w:tr w:rsidR="0020283D" w:rsidTr="002717E4">
        <w:trPr>
          <w:jc w:val="center"/>
        </w:trPr>
        <w:tc>
          <w:tcPr>
            <w:tcW w:w="1818" w:type="dxa"/>
            <w:shd w:val="clear" w:color="auto" w:fill="auto"/>
          </w:tcPr>
          <w:p w:rsidR="0020283D" w:rsidRDefault="0020283D" w:rsidP="00CD6C31">
            <w:pPr>
              <w:jc w:val="right"/>
            </w:pPr>
            <w:bookmarkStart w:id="13" w:name="OLE_LINK16"/>
            <w:bookmarkStart w:id="14" w:name="OLE_LINK17"/>
            <w:bookmarkStart w:id="15" w:name="OLE_LINK18"/>
            <w:bookmarkStart w:id="16" w:name="OLE_LINK19"/>
            <w:r w:rsidRPr="004556AB">
              <w:t>PASSED:</w:t>
            </w:r>
          </w:p>
        </w:tc>
        <w:tc>
          <w:tcPr>
            <w:tcW w:w="3150" w:type="dxa"/>
            <w:tcBorders>
              <w:bottom w:val="single" w:sz="4" w:space="0" w:color="auto"/>
            </w:tcBorders>
            <w:shd w:val="clear" w:color="auto" w:fill="auto"/>
          </w:tcPr>
          <w:p w:rsidR="0020283D" w:rsidRDefault="0020283D" w:rsidP="002626A2"/>
        </w:tc>
        <w:tc>
          <w:tcPr>
            <w:tcW w:w="4608" w:type="dxa"/>
            <w:gridSpan w:val="4"/>
            <w:shd w:val="clear" w:color="auto" w:fill="auto"/>
          </w:tcPr>
          <w:p w:rsidR="0020283D" w:rsidRDefault="0020283D" w:rsidP="002626A2"/>
        </w:tc>
      </w:tr>
      <w:bookmarkEnd w:id="15"/>
      <w:bookmarkEnd w:id="16"/>
      <w:tr w:rsidR="0020283D" w:rsidTr="00FD6206">
        <w:trPr>
          <w:jc w:val="center"/>
        </w:trPr>
        <w:tc>
          <w:tcPr>
            <w:tcW w:w="1818" w:type="dxa"/>
            <w:shd w:val="clear" w:color="auto" w:fill="auto"/>
          </w:tcPr>
          <w:p w:rsidR="0020283D" w:rsidRDefault="0020283D" w:rsidP="002626A2">
            <w:pPr>
              <w:jc w:val="right"/>
            </w:pPr>
          </w:p>
        </w:tc>
        <w:tc>
          <w:tcPr>
            <w:tcW w:w="3150" w:type="dxa"/>
            <w:tcBorders>
              <w:top w:val="single" w:sz="4" w:space="0" w:color="auto"/>
            </w:tcBorders>
            <w:shd w:val="clear" w:color="auto" w:fill="auto"/>
          </w:tcPr>
          <w:p w:rsidR="0020283D" w:rsidRDefault="0020283D" w:rsidP="00CD6C31">
            <w:pPr>
              <w:jc w:val="center"/>
            </w:pPr>
            <w:r>
              <w:t>(Date)</w:t>
            </w:r>
          </w:p>
        </w:tc>
        <w:tc>
          <w:tcPr>
            <w:tcW w:w="4608" w:type="dxa"/>
            <w:gridSpan w:val="4"/>
            <w:shd w:val="clear" w:color="auto" w:fill="auto"/>
          </w:tcPr>
          <w:p w:rsidR="0020283D" w:rsidRDefault="0020283D" w:rsidP="002626A2"/>
        </w:tc>
      </w:tr>
      <w:tr w:rsidR="0020283D" w:rsidTr="0020283D">
        <w:trPr>
          <w:trHeight w:hRule="exact" w:val="720"/>
          <w:jc w:val="center"/>
        </w:trPr>
        <w:tc>
          <w:tcPr>
            <w:tcW w:w="1818" w:type="dxa"/>
            <w:shd w:val="clear" w:color="auto" w:fill="auto"/>
            <w:vAlign w:val="bottom"/>
          </w:tcPr>
          <w:p w:rsidR="0020283D" w:rsidRDefault="0020283D" w:rsidP="00CD6C31">
            <w:pPr>
              <w:jc w:val="right"/>
            </w:pPr>
            <w:bookmarkStart w:id="17" w:name="OLE_LINK27"/>
            <w:bookmarkStart w:id="18" w:name="OLE_LINK28"/>
            <w:bookmarkStart w:id="19" w:name="OLE_LINK32"/>
            <w:r>
              <w:t>ATTEST:</w:t>
            </w:r>
          </w:p>
        </w:tc>
        <w:tc>
          <w:tcPr>
            <w:tcW w:w="3960" w:type="dxa"/>
            <w:gridSpan w:val="2"/>
            <w:tcBorders>
              <w:bottom w:val="single" w:sz="4" w:space="0" w:color="auto"/>
            </w:tcBorders>
            <w:shd w:val="clear" w:color="auto" w:fill="auto"/>
            <w:vAlign w:val="bottom"/>
          </w:tcPr>
          <w:p w:rsidR="0020283D" w:rsidRDefault="0091657F" w:rsidP="0091657F">
            <w:r>
              <w:rPr>
                <w:rFonts w:cs="Tahoma"/>
                <w:b/>
                <w:color w:val="0000FF"/>
                <w:highlight w:val="yellow"/>
              </w:rPr>
              <w:t>City or County Clerk name</w:t>
            </w:r>
          </w:p>
        </w:tc>
        <w:tc>
          <w:tcPr>
            <w:tcW w:w="3798" w:type="dxa"/>
            <w:gridSpan w:val="3"/>
            <w:shd w:val="clear" w:color="auto" w:fill="auto"/>
            <w:vAlign w:val="bottom"/>
          </w:tcPr>
          <w:p w:rsidR="0020283D" w:rsidRDefault="0020283D" w:rsidP="00CD6C31">
            <w:pPr>
              <w:jc w:val="right"/>
            </w:pPr>
          </w:p>
        </w:tc>
      </w:tr>
      <w:tr w:rsidR="0091657F" w:rsidTr="002F14C8">
        <w:trPr>
          <w:jc w:val="center"/>
        </w:trPr>
        <w:tc>
          <w:tcPr>
            <w:tcW w:w="1818" w:type="dxa"/>
            <w:shd w:val="clear" w:color="auto" w:fill="auto"/>
          </w:tcPr>
          <w:p w:rsidR="0091657F" w:rsidRDefault="0091657F" w:rsidP="002626A2">
            <w:pPr>
              <w:jc w:val="right"/>
            </w:pPr>
            <w:bookmarkStart w:id="20" w:name="OLE_LINK30"/>
            <w:bookmarkStart w:id="21" w:name="OLE_LINK31"/>
            <w:bookmarkEnd w:id="17"/>
            <w:bookmarkEnd w:id="18"/>
            <w:bookmarkEnd w:id="19"/>
          </w:p>
        </w:tc>
        <w:tc>
          <w:tcPr>
            <w:tcW w:w="3960" w:type="dxa"/>
            <w:gridSpan w:val="2"/>
            <w:tcBorders>
              <w:top w:val="single" w:sz="4" w:space="0" w:color="auto"/>
            </w:tcBorders>
            <w:shd w:val="clear" w:color="auto" w:fill="auto"/>
            <w:vAlign w:val="bottom"/>
          </w:tcPr>
          <w:p w:rsidR="0091657F" w:rsidRDefault="0091657F" w:rsidP="002626A2">
            <w:r>
              <w:rPr>
                <w:rFonts w:cs="Tahoma"/>
                <w:b/>
                <w:color w:val="0000FF"/>
                <w:highlight w:val="yellow"/>
              </w:rPr>
              <w:t>Title of City or County Clerk</w:t>
            </w:r>
          </w:p>
        </w:tc>
        <w:tc>
          <w:tcPr>
            <w:tcW w:w="3798" w:type="dxa"/>
            <w:gridSpan w:val="3"/>
            <w:shd w:val="clear" w:color="auto" w:fill="auto"/>
          </w:tcPr>
          <w:p w:rsidR="0091657F" w:rsidRDefault="0091657F" w:rsidP="002626A2"/>
        </w:tc>
      </w:tr>
      <w:bookmarkEnd w:id="13"/>
      <w:bookmarkEnd w:id="14"/>
      <w:bookmarkEnd w:id="20"/>
      <w:bookmarkEnd w:id="21"/>
      <w:tr w:rsidR="00D774D8" w:rsidTr="002626A2">
        <w:trPr>
          <w:trHeight w:hRule="exact" w:val="720"/>
          <w:jc w:val="center"/>
        </w:trPr>
        <w:tc>
          <w:tcPr>
            <w:tcW w:w="9576" w:type="dxa"/>
            <w:gridSpan w:val="6"/>
            <w:shd w:val="clear" w:color="auto" w:fill="auto"/>
            <w:vAlign w:val="bottom"/>
          </w:tcPr>
          <w:p w:rsidR="00D774D8" w:rsidRDefault="00D774D8" w:rsidP="00CD6C31">
            <w:pPr>
              <w:spacing w:after="120"/>
              <w:jc w:val="center"/>
            </w:pPr>
            <w:r w:rsidRPr="004556AB">
              <w:t>CERTIFICATION</w:t>
            </w:r>
            <w:r>
              <w:t>:</w:t>
            </w:r>
          </w:p>
        </w:tc>
      </w:tr>
      <w:tr w:rsidR="00D774D8" w:rsidTr="002626A2">
        <w:trPr>
          <w:jc w:val="center"/>
        </w:trPr>
        <w:tc>
          <w:tcPr>
            <w:tcW w:w="1818" w:type="dxa"/>
            <w:shd w:val="clear" w:color="auto" w:fill="auto"/>
            <w:vAlign w:val="bottom"/>
          </w:tcPr>
          <w:p w:rsidR="00D774D8" w:rsidRDefault="00D774D8" w:rsidP="002626A2">
            <w:pPr>
              <w:spacing w:before="20"/>
            </w:pPr>
            <w:r w:rsidRPr="004556AB">
              <w:t>I, the undersigned,</w:t>
            </w:r>
          </w:p>
        </w:tc>
        <w:tc>
          <w:tcPr>
            <w:tcW w:w="4257" w:type="dxa"/>
            <w:gridSpan w:val="3"/>
            <w:tcBorders>
              <w:bottom w:val="single" w:sz="4" w:space="0" w:color="auto"/>
            </w:tcBorders>
            <w:shd w:val="clear" w:color="auto" w:fill="auto"/>
            <w:vAlign w:val="bottom"/>
          </w:tcPr>
          <w:p w:rsidR="00D774D8" w:rsidRDefault="00D774D8" w:rsidP="002626A2">
            <w:pPr>
              <w:spacing w:before="20"/>
            </w:pPr>
          </w:p>
        </w:tc>
        <w:tc>
          <w:tcPr>
            <w:tcW w:w="3501" w:type="dxa"/>
            <w:gridSpan w:val="2"/>
            <w:shd w:val="clear" w:color="auto" w:fill="auto"/>
            <w:vAlign w:val="bottom"/>
          </w:tcPr>
          <w:p w:rsidR="00D774D8" w:rsidRDefault="00D774D8" w:rsidP="002626A2">
            <w:pPr>
              <w:spacing w:before="20"/>
            </w:pPr>
            <w:r>
              <w:t>, d</w:t>
            </w:r>
            <w:r w:rsidRPr="004556AB">
              <w:t xml:space="preserve">o hereby certify that the above is </w:t>
            </w:r>
          </w:p>
        </w:tc>
      </w:tr>
      <w:tr w:rsidR="0091657F" w:rsidTr="00BA4A0E">
        <w:trPr>
          <w:jc w:val="center"/>
        </w:trPr>
        <w:tc>
          <w:tcPr>
            <w:tcW w:w="9576" w:type="dxa"/>
            <w:gridSpan w:val="6"/>
            <w:shd w:val="clear" w:color="auto" w:fill="auto"/>
            <w:vAlign w:val="bottom"/>
          </w:tcPr>
          <w:p w:rsidR="0091657F" w:rsidRDefault="0091657F" w:rsidP="0091657F">
            <w:pPr>
              <w:spacing w:before="20"/>
            </w:pPr>
            <w:r w:rsidRPr="004556AB">
              <w:t>a</w:t>
            </w:r>
            <w:r>
              <w:t xml:space="preserve"> </w:t>
            </w:r>
            <w:r w:rsidRPr="0020283D">
              <w:t>true and correct copy of an ordinance duly adopted by the</w:t>
            </w:r>
            <w:r>
              <w:t xml:space="preserve"> </w:t>
            </w:r>
            <w:r>
              <w:rPr>
                <w:rFonts w:cs="Tahoma"/>
                <w:b/>
                <w:color w:val="0000FF"/>
                <w:highlight w:val="yellow"/>
              </w:rPr>
              <w:t>governing body</w:t>
            </w:r>
          </w:p>
        </w:tc>
      </w:tr>
      <w:tr w:rsidR="0091657F" w:rsidTr="00081927">
        <w:trPr>
          <w:jc w:val="center"/>
        </w:trPr>
        <w:tc>
          <w:tcPr>
            <w:tcW w:w="7578" w:type="dxa"/>
            <w:gridSpan w:val="5"/>
            <w:shd w:val="clear" w:color="auto" w:fill="auto"/>
            <w:vAlign w:val="bottom"/>
          </w:tcPr>
          <w:p w:rsidR="0091657F" w:rsidRDefault="0091657F" w:rsidP="0091657F">
            <w:pPr>
              <w:spacing w:before="20"/>
            </w:pPr>
            <w:proofErr w:type="gramStart"/>
            <w:r>
              <w:t>of</w:t>
            </w:r>
            <w:proofErr w:type="gramEnd"/>
            <w:r>
              <w:t xml:space="preserve"> </w:t>
            </w:r>
            <w:r>
              <w:rPr>
                <w:rFonts w:cs="Tahoma"/>
                <w:b/>
                <w:color w:val="0000FF"/>
                <w:highlight w:val="yellow"/>
              </w:rPr>
              <w:t>community name</w:t>
            </w:r>
            <w:r>
              <w:t>.</w:t>
            </w:r>
            <w:r w:rsidRPr="004556AB">
              <w:t xml:space="preserve"> at a regular meeting</w:t>
            </w:r>
            <w:r>
              <w:t xml:space="preserve"> </w:t>
            </w:r>
            <w:r w:rsidRPr="004556AB">
              <w:t>duly convened</w:t>
            </w:r>
            <w:r>
              <w:t xml:space="preserve"> on:</w:t>
            </w:r>
          </w:p>
        </w:tc>
        <w:tc>
          <w:tcPr>
            <w:tcW w:w="1998" w:type="dxa"/>
            <w:tcBorders>
              <w:bottom w:val="single" w:sz="4" w:space="0" w:color="auto"/>
            </w:tcBorders>
            <w:shd w:val="clear" w:color="auto" w:fill="auto"/>
            <w:vAlign w:val="bottom"/>
          </w:tcPr>
          <w:p w:rsidR="0091657F" w:rsidRDefault="0091657F" w:rsidP="0091657F">
            <w:pPr>
              <w:spacing w:before="20"/>
              <w:jc w:val="right"/>
            </w:pPr>
          </w:p>
        </w:tc>
      </w:tr>
      <w:tr w:rsidR="00081927" w:rsidTr="00081927">
        <w:trPr>
          <w:trHeight w:hRule="exact" w:val="720"/>
          <w:jc w:val="center"/>
        </w:trPr>
        <w:tc>
          <w:tcPr>
            <w:tcW w:w="4968" w:type="dxa"/>
            <w:gridSpan w:val="2"/>
            <w:tcBorders>
              <w:bottom w:val="single" w:sz="4" w:space="0" w:color="auto"/>
            </w:tcBorders>
            <w:shd w:val="clear" w:color="auto" w:fill="auto"/>
            <w:vAlign w:val="bottom"/>
          </w:tcPr>
          <w:p w:rsidR="00081927" w:rsidRDefault="00081927" w:rsidP="00081927">
            <w:r>
              <w:rPr>
                <w:rFonts w:cs="Tahoma"/>
                <w:b/>
                <w:color w:val="0000FF"/>
                <w:highlight w:val="yellow"/>
              </w:rPr>
              <w:t>City or County Clerk signature</w:t>
            </w:r>
          </w:p>
        </w:tc>
        <w:tc>
          <w:tcPr>
            <w:tcW w:w="2610" w:type="dxa"/>
            <w:gridSpan w:val="3"/>
            <w:shd w:val="clear" w:color="auto" w:fill="auto"/>
          </w:tcPr>
          <w:p w:rsidR="00081927" w:rsidRDefault="00081927" w:rsidP="002626A2"/>
        </w:tc>
        <w:tc>
          <w:tcPr>
            <w:tcW w:w="1998" w:type="dxa"/>
            <w:tcBorders>
              <w:top w:val="single" w:sz="4" w:space="0" w:color="auto"/>
            </w:tcBorders>
            <w:shd w:val="clear" w:color="auto" w:fill="auto"/>
          </w:tcPr>
          <w:p w:rsidR="00081927" w:rsidRDefault="00081927" w:rsidP="00081927">
            <w:pPr>
              <w:jc w:val="center"/>
            </w:pPr>
            <w:r>
              <w:t>(Date)</w:t>
            </w:r>
          </w:p>
        </w:tc>
      </w:tr>
      <w:tr w:rsidR="00081927" w:rsidTr="0094612F">
        <w:trPr>
          <w:jc w:val="center"/>
        </w:trPr>
        <w:tc>
          <w:tcPr>
            <w:tcW w:w="4968" w:type="dxa"/>
            <w:gridSpan w:val="2"/>
            <w:tcBorders>
              <w:top w:val="single" w:sz="4" w:space="0" w:color="auto"/>
            </w:tcBorders>
            <w:shd w:val="clear" w:color="auto" w:fill="auto"/>
            <w:vAlign w:val="bottom"/>
          </w:tcPr>
          <w:p w:rsidR="00081927" w:rsidRDefault="00081927" w:rsidP="002626A2">
            <w:r>
              <w:rPr>
                <w:rFonts w:cs="Tahoma"/>
                <w:b/>
                <w:color w:val="0000FF"/>
                <w:highlight w:val="yellow"/>
              </w:rPr>
              <w:t>Title of City or County Clerk</w:t>
            </w:r>
          </w:p>
        </w:tc>
        <w:tc>
          <w:tcPr>
            <w:tcW w:w="4608" w:type="dxa"/>
            <w:gridSpan w:val="4"/>
            <w:shd w:val="clear" w:color="auto" w:fill="auto"/>
          </w:tcPr>
          <w:p w:rsidR="00081927" w:rsidRDefault="00081927" w:rsidP="002626A2"/>
        </w:tc>
      </w:tr>
    </w:tbl>
    <w:p w:rsidR="00CF2B9E" w:rsidRPr="00B14D5E" w:rsidRDefault="00CF2B9E" w:rsidP="00081927">
      <w:bookmarkStart w:id="22" w:name="_GoBack"/>
      <w:bookmarkEnd w:id="22"/>
    </w:p>
    <w:sectPr w:rsidR="00CF2B9E" w:rsidRPr="00B14D5E">
      <w:footerReference w:type="even" r:id="rId8"/>
      <w:footerReference w:type="default" r:id="rId9"/>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C2" w:rsidRDefault="007F06C2" w:rsidP="007215E4"/>
  </w:endnote>
  <w:endnote w:type="continuationSeparator" w:id="0">
    <w:p w:rsidR="007F06C2" w:rsidRDefault="007F06C2" w:rsidP="007215E4">
      <w:r>
        <w:t xml:space="preserve"> </w:t>
      </w:r>
    </w:p>
  </w:endnote>
  <w:endnote w:type="continuationNotice" w:id="1">
    <w:p w:rsidR="007F06C2" w:rsidRDefault="007F06C2" w:rsidP="007215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E9" w:rsidRDefault="00815AE9" w:rsidP="007215E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15AE9" w:rsidRDefault="00815AE9" w:rsidP="00721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E9" w:rsidRDefault="00815AE9" w:rsidP="00853E8A">
    <w:pPr>
      <w:pStyle w:val="Footer"/>
      <w:spacing w:before="240"/>
      <w:jc w:val="center"/>
    </w:pPr>
    <w:r>
      <w:rPr>
        <w:rStyle w:val="PageNumber"/>
      </w:rPr>
      <w:fldChar w:fldCharType="begin"/>
    </w:r>
    <w:r>
      <w:rPr>
        <w:rStyle w:val="PageNumber"/>
      </w:rPr>
      <w:instrText xml:space="preserve">PAGE  </w:instrText>
    </w:r>
    <w:r>
      <w:rPr>
        <w:rStyle w:val="PageNumber"/>
      </w:rPr>
      <w:fldChar w:fldCharType="separate"/>
    </w:r>
    <w:r w:rsidR="00081927">
      <w:rPr>
        <w:rStyle w:val="PageNumber"/>
        <w:noProof/>
      </w:rPr>
      <w:t>2</w:t>
    </w:r>
    <w:r>
      <w:rPr>
        <w:rStyle w:val="PageNumber"/>
      </w:rPr>
      <w:fldChar w:fldCharType="end"/>
    </w:r>
    <w:r w:rsidR="00081927">
      <w:rPr>
        <w:rStyle w:val="PageNumber"/>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C2" w:rsidRDefault="007F06C2" w:rsidP="007215E4">
      <w:r>
        <w:separator/>
      </w:r>
    </w:p>
  </w:footnote>
  <w:footnote w:type="continuationSeparator" w:id="0">
    <w:p w:rsidR="007F06C2" w:rsidRDefault="007F06C2" w:rsidP="00721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78B"/>
    <w:multiLevelType w:val="multilevel"/>
    <w:tmpl w:val="E6C23B5E"/>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2520"/>
        </w:tabs>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8A4B26"/>
    <w:multiLevelType w:val="multilevel"/>
    <w:tmpl w:val="E6C23B5E"/>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2520"/>
        </w:tabs>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936DA7"/>
    <w:multiLevelType w:val="multilevel"/>
    <w:tmpl w:val="1E58632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112457C7"/>
    <w:multiLevelType w:val="multilevel"/>
    <w:tmpl w:val="E6C23B5E"/>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2520"/>
        </w:tabs>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650ABA"/>
    <w:multiLevelType w:val="hybridMultilevel"/>
    <w:tmpl w:val="33B40C4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9E02233"/>
    <w:multiLevelType w:val="multilevel"/>
    <w:tmpl w:val="1E58632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7962C6C"/>
    <w:multiLevelType w:val="multilevel"/>
    <w:tmpl w:val="E6C23B5E"/>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2520"/>
        </w:tabs>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86780C"/>
    <w:multiLevelType w:val="hybridMultilevel"/>
    <w:tmpl w:val="68C84C86"/>
    <w:lvl w:ilvl="0" w:tplc="1542D7AE">
      <w:start w:val="1"/>
      <w:numFmt w:val="decimal"/>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nsid w:val="47AA1231"/>
    <w:multiLevelType w:val="hybridMultilevel"/>
    <w:tmpl w:val="C2220AB4"/>
    <w:lvl w:ilvl="0" w:tplc="0409000F">
      <w:start w:val="1"/>
      <w:numFmt w:val="decimal"/>
      <w:lvlText w:val="%1."/>
      <w:lvlJc w:val="left"/>
      <w:pPr>
        <w:ind w:left="720" w:hanging="360"/>
      </w:pPr>
      <w:rPr>
        <w:rFonts w:hint="default"/>
      </w:rPr>
    </w:lvl>
    <w:lvl w:ilvl="1" w:tplc="043CD7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745DB"/>
    <w:multiLevelType w:val="multilevel"/>
    <w:tmpl w:val="0DDCF096"/>
    <w:styleLink w:val="Floodplain"/>
    <w:lvl w:ilvl="0">
      <w:start w:val="1"/>
      <w:numFmt w:val="decimal"/>
      <w:lvlText w:val="%1."/>
      <w:lvlJc w:val="left"/>
      <w:pPr>
        <w:ind w:left="720" w:hanging="360"/>
      </w:pPr>
      <w:rPr>
        <w:rFonts w:hint="default"/>
      </w:rPr>
    </w:lvl>
    <w:lvl w:ilvl="1">
      <w:start w:val="1"/>
      <w:numFmt w:val="lowerLetter"/>
      <w:lvlText w:val="(%2)"/>
      <w:lvlJc w:val="left"/>
      <w:pPr>
        <w:tabs>
          <w:tab w:val="num" w:pos="1080"/>
        </w:tabs>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FF6499E"/>
    <w:multiLevelType w:val="multilevel"/>
    <w:tmpl w:val="E6C23B5E"/>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2520"/>
        </w:tabs>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99F5F9B"/>
    <w:multiLevelType w:val="hybridMultilevel"/>
    <w:tmpl w:val="F02C83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DC27A9"/>
    <w:multiLevelType w:val="hybridMultilevel"/>
    <w:tmpl w:val="02409AE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40F5008"/>
    <w:multiLevelType w:val="multilevel"/>
    <w:tmpl w:val="E6C23B5E"/>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2520"/>
        </w:tabs>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4F02A0C"/>
    <w:multiLevelType w:val="multilevel"/>
    <w:tmpl w:val="F9A83E24"/>
    <w:styleLink w:val="FPCode"/>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C5D6EE9"/>
    <w:multiLevelType w:val="multilevel"/>
    <w:tmpl w:val="E6C23B5E"/>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2520"/>
        </w:tabs>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22D725D"/>
    <w:multiLevelType w:val="multilevel"/>
    <w:tmpl w:val="0DDCF096"/>
    <w:numStyleLink w:val="Floodplain"/>
  </w:abstractNum>
  <w:abstractNum w:abstractNumId="17">
    <w:nsid w:val="77D15F05"/>
    <w:multiLevelType w:val="hybridMultilevel"/>
    <w:tmpl w:val="374497E0"/>
    <w:lvl w:ilvl="0" w:tplc="4EA6B33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110B1A"/>
    <w:multiLevelType w:val="multilevel"/>
    <w:tmpl w:val="E6C23B5E"/>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tabs>
          <w:tab w:val="num" w:pos="2520"/>
        </w:tabs>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9"/>
  </w:num>
  <w:num w:numId="3">
    <w:abstractNumId w:val="16"/>
  </w:num>
  <w:num w:numId="4">
    <w:abstractNumId w:val="3"/>
  </w:num>
  <w:num w:numId="5">
    <w:abstractNumId w:val="1"/>
  </w:num>
  <w:num w:numId="6">
    <w:abstractNumId w:val="10"/>
  </w:num>
  <w:num w:numId="7">
    <w:abstractNumId w:val="13"/>
  </w:num>
  <w:num w:numId="8">
    <w:abstractNumId w:val="0"/>
  </w:num>
  <w:num w:numId="9">
    <w:abstractNumId w:val="6"/>
  </w:num>
  <w:num w:numId="10">
    <w:abstractNumId w:val="18"/>
  </w:num>
  <w:num w:numId="11">
    <w:abstractNumId w:val="15"/>
  </w:num>
  <w:num w:numId="12">
    <w:abstractNumId w:val="8"/>
  </w:num>
  <w:num w:numId="13">
    <w:abstractNumId w:val="2"/>
  </w:num>
  <w:num w:numId="14">
    <w:abstractNumId w:val="12"/>
  </w:num>
  <w:num w:numId="15">
    <w:abstractNumId w:val="4"/>
  </w:num>
  <w:num w:numId="16">
    <w:abstractNumId w:val="11"/>
  </w:num>
  <w:num w:numId="17">
    <w:abstractNumId w:val="7"/>
  </w:num>
  <w:num w:numId="18">
    <w:abstractNumId w:val="17"/>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6"/>
    <w:rsid w:val="00000EAF"/>
    <w:rsid w:val="00003D84"/>
    <w:rsid w:val="0001432C"/>
    <w:rsid w:val="00014F3A"/>
    <w:rsid w:val="00017C63"/>
    <w:rsid w:val="00022389"/>
    <w:rsid w:val="00023978"/>
    <w:rsid w:val="000315AA"/>
    <w:rsid w:val="00033478"/>
    <w:rsid w:val="000343B1"/>
    <w:rsid w:val="00034627"/>
    <w:rsid w:val="000369C3"/>
    <w:rsid w:val="0004307A"/>
    <w:rsid w:val="00052869"/>
    <w:rsid w:val="00064C26"/>
    <w:rsid w:val="00065C60"/>
    <w:rsid w:val="00074C1F"/>
    <w:rsid w:val="00081927"/>
    <w:rsid w:val="00081E28"/>
    <w:rsid w:val="00083739"/>
    <w:rsid w:val="000863D0"/>
    <w:rsid w:val="00087E22"/>
    <w:rsid w:val="00091263"/>
    <w:rsid w:val="0009339C"/>
    <w:rsid w:val="0009463E"/>
    <w:rsid w:val="000A027F"/>
    <w:rsid w:val="000B0188"/>
    <w:rsid w:val="000B43F2"/>
    <w:rsid w:val="000B4B70"/>
    <w:rsid w:val="000C7448"/>
    <w:rsid w:val="000D76B0"/>
    <w:rsid w:val="000E3167"/>
    <w:rsid w:val="000F212B"/>
    <w:rsid w:val="000F2A2A"/>
    <w:rsid w:val="000F3767"/>
    <w:rsid w:val="000F586A"/>
    <w:rsid w:val="001010F9"/>
    <w:rsid w:val="00105621"/>
    <w:rsid w:val="00107923"/>
    <w:rsid w:val="0011101C"/>
    <w:rsid w:val="00111AE8"/>
    <w:rsid w:val="0012122D"/>
    <w:rsid w:val="00131201"/>
    <w:rsid w:val="00131CA4"/>
    <w:rsid w:val="00135446"/>
    <w:rsid w:val="00135ED2"/>
    <w:rsid w:val="00144BB3"/>
    <w:rsid w:val="00145387"/>
    <w:rsid w:val="00153FD9"/>
    <w:rsid w:val="00157B07"/>
    <w:rsid w:val="00180169"/>
    <w:rsid w:val="001813D9"/>
    <w:rsid w:val="001874C5"/>
    <w:rsid w:val="001906E2"/>
    <w:rsid w:val="001934F0"/>
    <w:rsid w:val="00197729"/>
    <w:rsid w:val="001A6E73"/>
    <w:rsid w:val="001B0598"/>
    <w:rsid w:val="001C643A"/>
    <w:rsid w:val="001C66C3"/>
    <w:rsid w:val="001C73AD"/>
    <w:rsid w:val="001E1A34"/>
    <w:rsid w:val="001E1F9A"/>
    <w:rsid w:val="001E42C2"/>
    <w:rsid w:val="001E56E4"/>
    <w:rsid w:val="001E5AA7"/>
    <w:rsid w:val="001F3BAC"/>
    <w:rsid w:val="00200E1B"/>
    <w:rsid w:val="00201232"/>
    <w:rsid w:val="0020283D"/>
    <w:rsid w:val="0022147C"/>
    <w:rsid w:val="002217A2"/>
    <w:rsid w:val="00231567"/>
    <w:rsid w:val="00231B82"/>
    <w:rsid w:val="00240C55"/>
    <w:rsid w:val="00245B5B"/>
    <w:rsid w:val="00264F6E"/>
    <w:rsid w:val="002673A4"/>
    <w:rsid w:val="00267D2C"/>
    <w:rsid w:val="00267DDF"/>
    <w:rsid w:val="00270D58"/>
    <w:rsid w:val="00273F2A"/>
    <w:rsid w:val="00274F59"/>
    <w:rsid w:val="0028136D"/>
    <w:rsid w:val="002879EC"/>
    <w:rsid w:val="002A1DF6"/>
    <w:rsid w:val="002B25D8"/>
    <w:rsid w:val="002B4DBC"/>
    <w:rsid w:val="002B5A8F"/>
    <w:rsid w:val="002C2C52"/>
    <w:rsid w:val="002D0C91"/>
    <w:rsid w:val="002D1205"/>
    <w:rsid w:val="002E2BA2"/>
    <w:rsid w:val="002E3249"/>
    <w:rsid w:val="002E3760"/>
    <w:rsid w:val="002F208C"/>
    <w:rsid w:val="002F41AC"/>
    <w:rsid w:val="002F78B0"/>
    <w:rsid w:val="003004E7"/>
    <w:rsid w:val="00303AC5"/>
    <w:rsid w:val="00317546"/>
    <w:rsid w:val="003212D6"/>
    <w:rsid w:val="00321ACA"/>
    <w:rsid w:val="00323F97"/>
    <w:rsid w:val="00326476"/>
    <w:rsid w:val="00331635"/>
    <w:rsid w:val="0033486B"/>
    <w:rsid w:val="00334E60"/>
    <w:rsid w:val="00335660"/>
    <w:rsid w:val="00340185"/>
    <w:rsid w:val="00347899"/>
    <w:rsid w:val="00352008"/>
    <w:rsid w:val="00352FE8"/>
    <w:rsid w:val="00356CD6"/>
    <w:rsid w:val="00360B13"/>
    <w:rsid w:val="003613A0"/>
    <w:rsid w:val="00361C11"/>
    <w:rsid w:val="003673FB"/>
    <w:rsid w:val="00371A10"/>
    <w:rsid w:val="00373D7C"/>
    <w:rsid w:val="003743E8"/>
    <w:rsid w:val="00374D2D"/>
    <w:rsid w:val="00382012"/>
    <w:rsid w:val="00392A47"/>
    <w:rsid w:val="003A6C66"/>
    <w:rsid w:val="003A7776"/>
    <w:rsid w:val="003B0C7B"/>
    <w:rsid w:val="003B4303"/>
    <w:rsid w:val="003C028C"/>
    <w:rsid w:val="003C2B50"/>
    <w:rsid w:val="003C2F23"/>
    <w:rsid w:val="003C50D8"/>
    <w:rsid w:val="003E19D8"/>
    <w:rsid w:val="003E50E6"/>
    <w:rsid w:val="003E6112"/>
    <w:rsid w:val="003F231C"/>
    <w:rsid w:val="003F34EF"/>
    <w:rsid w:val="00401B35"/>
    <w:rsid w:val="00410C4F"/>
    <w:rsid w:val="00417830"/>
    <w:rsid w:val="00422BDE"/>
    <w:rsid w:val="004245B0"/>
    <w:rsid w:val="00432C62"/>
    <w:rsid w:val="00436A72"/>
    <w:rsid w:val="00442F57"/>
    <w:rsid w:val="00443CA8"/>
    <w:rsid w:val="00451C81"/>
    <w:rsid w:val="004556AB"/>
    <w:rsid w:val="00455968"/>
    <w:rsid w:val="00456463"/>
    <w:rsid w:val="00472320"/>
    <w:rsid w:val="004832A2"/>
    <w:rsid w:val="00485295"/>
    <w:rsid w:val="004A4467"/>
    <w:rsid w:val="004B2389"/>
    <w:rsid w:val="004B639E"/>
    <w:rsid w:val="004B7387"/>
    <w:rsid w:val="004C5FDB"/>
    <w:rsid w:val="004D52E5"/>
    <w:rsid w:val="004E69F5"/>
    <w:rsid w:val="004E6A7A"/>
    <w:rsid w:val="004F0A11"/>
    <w:rsid w:val="004F1DE5"/>
    <w:rsid w:val="004F25A3"/>
    <w:rsid w:val="004F3719"/>
    <w:rsid w:val="00510F10"/>
    <w:rsid w:val="0051157A"/>
    <w:rsid w:val="00513A39"/>
    <w:rsid w:val="00516987"/>
    <w:rsid w:val="00526326"/>
    <w:rsid w:val="00544E5B"/>
    <w:rsid w:val="005507C4"/>
    <w:rsid w:val="00550DF0"/>
    <w:rsid w:val="005535EE"/>
    <w:rsid w:val="00555A2E"/>
    <w:rsid w:val="0056366A"/>
    <w:rsid w:val="00564E6A"/>
    <w:rsid w:val="00565CA2"/>
    <w:rsid w:val="005664B7"/>
    <w:rsid w:val="00566B17"/>
    <w:rsid w:val="00572802"/>
    <w:rsid w:val="00572D3E"/>
    <w:rsid w:val="00575303"/>
    <w:rsid w:val="005904CF"/>
    <w:rsid w:val="00593EF8"/>
    <w:rsid w:val="005961A8"/>
    <w:rsid w:val="005A2BF2"/>
    <w:rsid w:val="005A51C5"/>
    <w:rsid w:val="005A7212"/>
    <w:rsid w:val="005B3C6A"/>
    <w:rsid w:val="005C46A6"/>
    <w:rsid w:val="005D6A54"/>
    <w:rsid w:val="005D6CD5"/>
    <w:rsid w:val="005E0754"/>
    <w:rsid w:val="005E25C0"/>
    <w:rsid w:val="005E488A"/>
    <w:rsid w:val="005E4DF1"/>
    <w:rsid w:val="005E52C8"/>
    <w:rsid w:val="005E6A88"/>
    <w:rsid w:val="005F1536"/>
    <w:rsid w:val="0060218C"/>
    <w:rsid w:val="006112CD"/>
    <w:rsid w:val="00614061"/>
    <w:rsid w:val="00614BBE"/>
    <w:rsid w:val="00620EAF"/>
    <w:rsid w:val="00621BA1"/>
    <w:rsid w:val="00636B91"/>
    <w:rsid w:val="006374AD"/>
    <w:rsid w:val="00640474"/>
    <w:rsid w:val="00640CF2"/>
    <w:rsid w:val="006434DC"/>
    <w:rsid w:val="00645A6F"/>
    <w:rsid w:val="0065465D"/>
    <w:rsid w:val="00656EF6"/>
    <w:rsid w:val="006573C4"/>
    <w:rsid w:val="0066182D"/>
    <w:rsid w:val="0067560E"/>
    <w:rsid w:val="00676106"/>
    <w:rsid w:val="00681FB3"/>
    <w:rsid w:val="00690516"/>
    <w:rsid w:val="00696077"/>
    <w:rsid w:val="00696797"/>
    <w:rsid w:val="006A2918"/>
    <w:rsid w:val="006B0C0C"/>
    <w:rsid w:val="006B0DF6"/>
    <w:rsid w:val="006B1A84"/>
    <w:rsid w:val="006B6E75"/>
    <w:rsid w:val="006D56F3"/>
    <w:rsid w:val="006D5E0E"/>
    <w:rsid w:val="006D5FFB"/>
    <w:rsid w:val="006D62AB"/>
    <w:rsid w:val="006F2D6D"/>
    <w:rsid w:val="006F7FA8"/>
    <w:rsid w:val="00712F8F"/>
    <w:rsid w:val="00715CF8"/>
    <w:rsid w:val="0071797C"/>
    <w:rsid w:val="007215E4"/>
    <w:rsid w:val="00724668"/>
    <w:rsid w:val="00724E38"/>
    <w:rsid w:val="0073247A"/>
    <w:rsid w:val="007439C7"/>
    <w:rsid w:val="007517D2"/>
    <w:rsid w:val="00762BBF"/>
    <w:rsid w:val="0076351E"/>
    <w:rsid w:val="007663B0"/>
    <w:rsid w:val="0076672C"/>
    <w:rsid w:val="007704D5"/>
    <w:rsid w:val="00771EED"/>
    <w:rsid w:val="00773EA1"/>
    <w:rsid w:val="00776CBE"/>
    <w:rsid w:val="00780923"/>
    <w:rsid w:val="007818AF"/>
    <w:rsid w:val="0079071F"/>
    <w:rsid w:val="00795A56"/>
    <w:rsid w:val="0079701D"/>
    <w:rsid w:val="00797320"/>
    <w:rsid w:val="007A0D9E"/>
    <w:rsid w:val="007B017E"/>
    <w:rsid w:val="007B067E"/>
    <w:rsid w:val="007B1042"/>
    <w:rsid w:val="007B4FA7"/>
    <w:rsid w:val="007C4EAA"/>
    <w:rsid w:val="007C5243"/>
    <w:rsid w:val="007C5BD7"/>
    <w:rsid w:val="007C7498"/>
    <w:rsid w:val="007D2F7F"/>
    <w:rsid w:val="007D5213"/>
    <w:rsid w:val="007E2246"/>
    <w:rsid w:val="007E2581"/>
    <w:rsid w:val="007F06C2"/>
    <w:rsid w:val="007F1A36"/>
    <w:rsid w:val="007F2951"/>
    <w:rsid w:val="007F678C"/>
    <w:rsid w:val="007F79D6"/>
    <w:rsid w:val="00810469"/>
    <w:rsid w:val="0081050E"/>
    <w:rsid w:val="00810BD3"/>
    <w:rsid w:val="008124ED"/>
    <w:rsid w:val="00812E05"/>
    <w:rsid w:val="008149D2"/>
    <w:rsid w:val="00815AE9"/>
    <w:rsid w:val="00817D8B"/>
    <w:rsid w:val="00826A88"/>
    <w:rsid w:val="008316C2"/>
    <w:rsid w:val="0083292E"/>
    <w:rsid w:val="00835558"/>
    <w:rsid w:val="00841BD2"/>
    <w:rsid w:val="008500EB"/>
    <w:rsid w:val="00853E8A"/>
    <w:rsid w:val="00864DB3"/>
    <w:rsid w:val="00870450"/>
    <w:rsid w:val="00892932"/>
    <w:rsid w:val="0089387F"/>
    <w:rsid w:val="008A1755"/>
    <w:rsid w:val="008A19FA"/>
    <w:rsid w:val="008A25E5"/>
    <w:rsid w:val="008B0418"/>
    <w:rsid w:val="008B1E49"/>
    <w:rsid w:val="008B745F"/>
    <w:rsid w:val="008C075B"/>
    <w:rsid w:val="008C0CBB"/>
    <w:rsid w:val="008D12BB"/>
    <w:rsid w:val="008D35AC"/>
    <w:rsid w:val="008D392A"/>
    <w:rsid w:val="008D4E43"/>
    <w:rsid w:val="008E2BB1"/>
    <w:rsid w:val="008E2C09"/>
    <w:rsid w:val="0090712B"/>
    <w:rsid w:val="00907D81"/>
    <w:rsid w:val="00911201"/>
    <w:rsid w:val="00913893"/>
    <w:rsid w:val="00915784"/>
    <w:rsid w:val="0091657F"/>
    <w:rsid w:val="009309D1"/>
    <w:rsid w:val="00940232"/>
    <w:rsid w:val="00940623"/>
    <w:rsid w:val="00950C5A"/>
    <w:rsid w:val="00951616"/>
    <w:rsid w:val="00957AFC"/>
    <w:rsid w:val="00961892"/>
    <w:rsid w:val="0096517E"/>
    <w:rsid w:val="0096682F"/>
    <w:rsid w:val="0096729C"/>
    <w:rsid w:val="009672C4"/>
    <w:rsid w:val="009708A1"/>
    <w:rsid w:val="00972241"/>
    <w:rsid w:val="00972D00"/>
    <w:rsid w:val="00975033"/>
    <w:rsid w:val="00975C74"/>
    <w:rsid w:val="00980B40"/>
    <w:rsid w:val="0099602C"/>
    <w:rsid w:val="00997650"/>
    <w:rsid w:val="009A51D9"/>
    <w:rsid w:val="009B2955"/>
    <w:rsid w:val="009B2EFD"/>
    <w:rsid w:val="009B577C"/>
    <w:rsid w:val="009C1C5B"/>
    <w:rsid w:val="009C23F1"/>
    <w:rsid w:val="009C394E"/>
    <w:rsid w:val="009C5100"/>
    <w:rsid w:val="009D2214"/>
    <w:rsid w:val="009E3FDE"/>
    <w:rsid w:val="009E6B2B"/>
    <w:rsid w:val="009E7A37"/>
    <w:rsid w:val="009F1D4F"/>
    <w:rsid w:val="009F4CA0"/>
    <w:rsid w:val="00A05547"/>
    <w:rsid w:val="00A07FAC"/>
    <w:rsid w:val="00A1338E"/>
    <w:rsid w:val="00A149D2"/>
    <w:rsid w:val="00A21415"/>
    <w:rsid w:val="00A23EBA"/>
    <w:rsid w:val="00A26428"/>
    <w:rsid w:val="00A3755C"/>
    <w:rsid w:val="00A4672D"/>
    <w:rsid w:val="00A55CDA"/>
    <w:rsid w:val="00A55FC9"/>
    <w:rsid w:val="00A75E7E"/>
    <w:rsid w:val="00A80570"/>
    <w:rsid w:val="00A83803"/>
    <w:rsid w:val="00A8787B"/>
    <w:rsid w:val="00A92AF3"/>
    <w:rsid w:val="00A9781E"/>
    <w:rsid w:val="00AA4428"/>
    <w:rsid w:val="00AA5F85"/>
    <w:rsid w:val="00AB2131"/>
    <w:rsid w:val="00AB44AC"/>
    <w:rsid w:val="00AB46B5"/>
    <w:rsid w:val="00AB6E5F"/>
    <w:rsid w:val="00AB6FD8"/>
    <w:rsid w:val="00AC32FE"/>
    <w:rsid w:val="00AC3B8E"/>
    <w:rsid w:val="00AD1E33"/>
    <w:rsid w:val="00AE2942"/>
    <w:rsid w:val="00AE3056"/>
    <w:rsid w:val="00AE5508"/>
    <w:rsid w:val="00AE749C"/>
    <w:rsid w:val="00AF2D79"/>
    <w:rsid w:val="00AF6687"/>
    <w:rsid w:val="00AF7F13"/>
    <w:rsid w:val="00B01ED2"/>
    <w:rsid w:val="00B043E9"/>
    <w:rsid w:val="00B07B0A"/>
    <w:rsid w:val="00B1308D"/>
    <w:rsid w:val="00B130A2"/>
    <w:rsid w:val="00B14967"/>
    <w:rsid w:val="00B14D5E"/>
    <w:rsid w:val="00B17BAB"/>
    <w:rsid w:val="00B3174D"/>
    <w:rsid w:val="00B37A7C"/>
    <w:rsid w:val="00B37CDB"/>
    <w:rsid w:val="00B455E2"/>
    <w:rsid w:val="00B50586"/>
    <w:rsid w:val="00B52281"/>
    <w:rsid w:val="00B566A6"/>
    <w:rsid w:val="00B621ED"/>
    <w:rsid w:val="00B62EDA"/>
    <w:rsid w:val="00B6626F"/>
    <w:rsid w:val="00B70D09"/>
    <w:rsid w:val="00B732D8"/>
    <w:rsid w:val="00B75A43"/>
    <w:rsid w:val="00B80B3C"/>
    <w:rsid w:val="00BB294F"/>
    <w:rsid w:val="00BB4859"/>
    <w:rsid w:val="00BC644F"/>
    <w:rsid w:val="00BC6B7C"/>
    <w:rsid w:val="00BD37D5"/>
    <w:rsid w:val="00BD54AA"/>
    <w:rsid w:val="00BE38F9"/>
    <w:rsid w:val="00BF16F5"/>
    <w:rsid w:val="00BF31DB"/>
    <w:rsid w:val="00BF476E"/>
    <w:rsid w:val="00BF73E4"/>
    <w:rsid w:val="00C01049"/>
    <w:rsid w:val="00C22ACF"/>
    <w:rsid w:val="00C264D4"/>
    <w:rsid w:val="00C26DCF"/>
    <w:rsid w:val="00C3006D"/>
    <w:rsid w:val="00C35F36"/>
    <w:rsid w:val="00C374BB"/>
    <w:rsid w:val="00C44F2C"/>
    <w:rsid w:val="00C45625"/>
    <w:rsid w:val="00C518D8"/>
    <w:rsid w:val="00C51AC4"/>
    <w:rsid w:val="00C62D22"/>
    <w:rsid w:val="00C66377"/>
    <w:rsid w:val="00C66544"/>
    <w:rsid w:val="00C67B7A"/>
    <w:rsid w:val="00C67E07"/>
    <w:rsid w:val="00C7777E"/>
    <w:rsid w:val="00C85A33"/>
    <w:rsid w:val="00C86A7E"/>
    <w:rsid w:val="00C87951"/>
    <w:rsid w:val="00C9043C"/>
    <w:rsid w:val="00C90828"/>
    <w:rsid w:val="00C9293A"/>
    <w:rsid w:val="00C92C9C"/>
    <w:rsid w:val="00C93AD0"/>
    <w:rsid w:val="00C975FC"/>
    <w:rsid w:val="00CA14AC"/>
    <w:rsid w:val="00CA5BE9"/>
    <w:rsid w:val="00CB2B28"/>
    <w:rsid w:val="00CB3A59"/>
    <w:rsid w:val="00CB3F97"/>
    <w:rsid w:val="00CB4FA6"/>
    <w:rsid w:val="00CC09E7"/>
    <w:rsid w:val="00CC0B48"/>
    <w:rsid w:val="00CC12D2"/>
    <w:rsid w:val="00CC32E9"/>
    <w:rsid w:val="00CC49EE"/>
    <w:rsid w:val="00CC54DB"/>
    <w:rsid w:val="00CD3C38"/>
    <w:rsid w:val="00CD6C31"/>
    <w:rsid w:val="00CE0BE4"/>
    <w:rsid w:val="00CE2053"/>
    <w:rsid w:val="00CF2B9E"/>
    <w:rsid w:val="00D07E08"/>
    <w:rsid w:val="00D11CB7"/>
    <w:rsid w:val="00D11F42"/>
    <w:rsid w:val="00D11FE0"/>
    <w:rsid w:val="00D13735"/>
    <w:rsid w:val="00D14106"/>
    <w:rsid w:val="00D157EB"/>
    <w:rsid w:val="00D21F87"/>
    <w:rsid w:val="00D2548F"/>
    <w:rsid w:val="00D263D2"/>
    <w:rsid w:val="00D30215"/>
    <w:rsid w:val="00D30DB6"/>
    <w:rsid w:val="00D31F3B"/>
    <w:rsid w:val="00D342EE"/>
    <w:rsid w:val="00D40487"/>
    <w:rsid w:val="00D43C9F"/>
    <w:rsid w:val="00D677FF"/>
    <w:rsid w:val="00D70794"/>
    <w:rsid w:val="00D767ED"/>
    <w:rsid w:val="00D774D8"/>
    <w:rsid w:val="00D83504"/>
    <w:rsid w:val="00D84DC4"/>
    <w:rsid w:val="00D8576A"/>
    <w:rsid w:val="00D91B42"/>
    <w:rsid w:val="00D949A2"/>
    <w:rsid w:val="00DA2673"/>
    <w:rsid w:val="00DA5993"/>
    <w:rsid w:val="00DB0161"/>
    <w:rsid w:val="00DB1A27"/>
    <w:rsid w:val="00DB2E7F"/>
    <w:rsid w:val="00DB5838"/>
    <w:rsid w:val="00DB78C2"/>
    <w:rsid w:val="00DC004E"/>
    <w:rsid w:val="00DC5902"/>
    <w:rsid w:val="00DC744A"/>
    <w:rsid w:val="00DD0917"/>
    <w:rsid w:val="00DD2C04"/>
    <w:rsid w:val="00DD4BDC"/>
    <w:rsid w:val="00DE0710"/>
    <w:rsid w:val="00DF706E"/>
    <w:rsid w:val="00DF76F6"/>
    <w:rsid w:val="00E00D6C"/>
    <w:rsid w:val="00E01A10"/>
    <w:rsid w:val="00E03697"/>
    <w:rsid w:val="00E1084C"/>
    <w:rsid w:val="00E1596A"/>
    <w:rsid w:val="00E21F53"/>
    <w:rsid w:val="00E30B36"/>
    <w:rsid w:val="00E3181A"/>
    <w:rsid w:val="00E3511C"/>
    <w:rsid w:val="00E4290B"/>
    <w:rsid w:val="00E50A35"/>
    <w:rsid w:val="00E51CEC"/>
    <w:rsid w:val="00E526AE"/>
    <w:rsid w:val="00E534C9"/>
    <w:rsid w:val="00E67780"/>
    <w:rsid w:val="00E6783A"/>
    <w:rsid w:val="00E81EA3"/>
    <w:rsid w:val="00E82E38"/>
    <w:rsid w:val="00E833E6"/>
    <w:rsid w:val="00EA301F"/>
    <w:rsid w:val="00EA35D9"/>
    <w:rsid w:val="00EA3A64"/>
    <w:rsid w:val="00EA4380"/>
    <w:rsid w:val="00EA5EB8"/>
    <w:rsid w:val="00EA7DFB"/>
    <w:rsid w:val="00EB13C2"/>
    <w:rsid w:val="00EB5118"/>
    <w:rsid w:val="00EC39CB"/>
    <w:rsid w:val="00EC4BE3"/>
    <w:rsid w:val="00EC6E59"/>
    <w:rsid w:val="00ED0539"/>
    <w:rsid w:val="00ED2663"/>
    <w:rsid w:val="00ED460C"/>
    <w:rsid w:val="00EF1546"/>
    <w:rsid w:val="00EF31B1"/>
    <w:rsid w:val="00EF40C9"/>
    <w:rsid w:val="00EF5434"/>
    <w:rsid w:val="00F00AA8"/>
    <w:rsid w:val="00F01660"/>
    <w:rsid w:val="00F04164"/>
    <w:rsid w:val="00F04A05"/>
    <w:rsid w:val="00F05DBC"/>
    <w:rsid w:val="00F11D43"/>
    <w:rsid w:val="00F1213A"/>
    <w:rsid w:val="00F15C8D"/>
    <w:rsid w:val="00F26B0D"/>
    <w:rsid w:val="00F27E98"/>
    <w:rsid w:val="00F30F40"/>
    <w:rsid w:val="00F310E7"/>
    <w:rsid w:val="00F317C7"/>
    <w:rsid w:val="00F325F2"/>
    <w:rsid w:val="00F36F83"/>
    <w:rsid w:val="00F4251B"/>
    <w:rsid w:val="00F52D92"/>
    <w:rsid w:val="00F53726"/>
    <w:rsid w:val="00F65623"/>
    <w:rsid w:val="00F66F1D"/>
    <w:rsid w:val="00F77438"/>
    <w:rsid w:val="00F8350D"/>
    <w:rsid w:val="00F85D66"/>
    <w:rsid w:val="00F935A2"/>
    <w:rsid w:val="00F93CDC"/>
    <w:rsid w:val="00FA20E4"/>
    <w:rsid w:val="00FB73FB"/>
    <w:rsid w:val="00FC3BF0"/>
    <w:rsid w:val="00FD172A"/>
    <w:rsid w:val="00FD1BA6"/>
    <w:rsid w:val="00FD337E"/>
    <w:rsid w:val="00FD791D"/>
    <w:rsid w:val="00FE5A92"/>
    <w:rsid w:val="00FE66DC"/>
    <w:rsid w:val="00FF3720"/>
    <w:rsid w:val="00FF73DF"/>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37E"/>
    <w:pPr>
      <w:tabs>
        <w:tab w:val="left" w:pos="360"/>
        <w:tab w:val="left" w:pos="480"/>
        <w:tab w:val="left" w:pos="720"/>
        <w:tab w:val="left" w:pos="1080"/>
        <w:tab w:val="left" w:pos="1440"/>
        <w:tab w:val="left" w:pos="1800"/>
      </w:tabs>
      <w:suppressAutoHyphens/>
    </w:pPr>
    <w:rPr>
      <w:color w:val="000000"/>
      <w:sz w:val="24"/>
    </w:rPr>
  </w:style>
  <w:style w:type="paragraph" w:styleId="Heading1">
    <w:name w:val="heading 1"/>
    <w:basedOn w:val="Normal"/>
    <w:next w:val="Normal"/>
    <w:qFormat/>
    <w:rsid w:val="007215E4"/>
    <w:pPr>
      <w:keepNext/>
      <w:jc w:val="center"/>
      <w:outlineLvl w:val="0"/>
    </w:pPr>
    <w:rPr>
      <w:b/>
      <w:sz w:val="36"/>
    </w:rPr>
  </w:style>
  <w:style w:type="paragraph" w:styleId="Heading2">
    <w:name w:val="heading 2"/>
    <w:basedOn w:val="Normal"/>
    <w:next w:val="Normal"/>
    <w:qFormat/>
    <w:rsid w:val="00575303"/>
    <w:pPr>
      <w:keepNext/>
      <w:widowControl w:val="0"/>
      <w:tabs>
        <w:tab w:val="center" w:pos="4680"/>
      </w:tabs>
      <w:jc w:val="center"/>
      <w:outlineLvl w:val="1"/>
    </w:pPr>
    <w:rPr>
      <w:b/>
      <w:snapToGrid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widowControl w:val="0"/>
      <w:ind w:left="720"/>
    </w:pPr>
    <w:rPr>
      <w:snapToGrid w:val="0"/>
    </w:rPr>
  </w:style>
  <w:style w:type="paragraph" w:styleId="BodyText">
    <w:name w:val="Body Text"/>
    <w:basedOn w:val="Normal"/>
    <w:rPr>
      <w:rFonts w:ascii="Bookman Old Style" w:hAnsi="Bookman Old Style"/>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style>
  <w:style w:type="paragraph" w:styleId="BodyText2">
    <w:name w:val="Body Text 2"/>
    <w:basedOn w:val="Normal"/>
    <w:rPr>
      <w:rFonts w:ascii="Bookman Old Style" w:hAnsi="Bookman Old Style"/>
      <w:b/>
    </w:rPr>
  </w:style>
  <w:style w:type="character" w:styleId="PageNumber">
    <w:name w:val="page number"/>
    <w:basedOn w:val="DefaultParagraphFont"/>
  </w:style>
  <w:style w:type="paragraph" w:styleId="BalloonText">
    <w:name w:val="Balloon Text"/>
    <w:basedOn w:val="Normal"/>
    <w:semiHidden/>
    <w:rsid w:val="003743E8"/>
    <w:rPr>
      <w:rFonts w:ascii="Tahoma" w:hAnsi="Tahoma" w:cs="Tahoma"/>
      <w:sz w:val="16"/>
      <w:szCs w:val="16"/>
    </w:rPr>
  </w:style>
  <w:style w:type="paragraph" w:styleId="Header">
    <w:name w:val="header"/>
    <w:basedOn w:val="Normal"/>
    <w:link w:val="HeaderChar"/>
    <w:rsid w:val="00550DF0"/>
    <w:pPr>
      <w:tabs>
        <w:tab w:val="clear" w:pos="360"/>
        <w:tab w:val="clear" w:pos="480"/>
        <w:tab w:val="clear" w:pos="720"/>
        <w:tab w:val="clear" w:pos="1080"/>
        <w:tab w:val="clear" w:pos="1440"/>
        <w:tab w:val="clear" w:pos="1800"/>
        <w:tab w:val="center" w:pos="4680"/>
        <w:tab w:val="right" w:pos="9360"/>
      </w:tabs>
    </w:pPr>
  </w:style>
  <w:style w:type="character" w:customStyle="1" w:styleId="HeaderChar">
    <w:name w:val="Header Char"/>
    <w:link w:val="Header"/>
    <w:rsid w:val="00550DF0"/>
    <w:rPr>
      <w:color w:val="000000"/>
      <w:sz w:val="24"/>
    </w:rPr>
  </w:style>
  <w:style w:type="numbering" w:customStyle="1" w:styleId="FPCode">
    <w:name w:val="FP Code"/>
    <w:rsid w:val="00565CA2"/>
    <w:pPr>
      <w:numPr>
        <w:numId w:val="1"/>
      </w:numPr>
    </w:pPr>
  </w:style>
  <w:style w:type="numbering" w:customStyle="1" w:styleId="Floodplain">
    <w:name w:val="Floodplain"/>
    <w:rsid w:val="007663B0"/>
    <w:pPr>
      <w:numPr>
        <w:numId w:val="2"/>
      </w:numPr>
    </w:pPr>
  </w:style>
  <w:style w:type="table" w:styleId="TableGrid">
    <w:name w:val="Table Grid"/>
    <w:basedOn w:val="TableNormal"/>
    <w:rsid w:val="0045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37E"/>
    <w:pPr>
      <w:tabs>
        <w:tab w:val="left" w:pos="360"/>
        <w:tab w:val="left" w:pos="480"/>
        <w:tab w:val="left" w:pos="720"/>
        <w:tab w:val="left" w:pos="1080"/>
        <w:tab w:val="left" w:pos="1440"/>
        <w:tab w:val="left" w:pos="1800"/>
      </w:tabs>
      <w:suppressAutoHyphens/>
    </w:pPr>
    <w:rPr>
      <w:color w:val="000000"/>
      <w:sz w:val="24"/>
    </w:rPr>
  </w:style>
  <w:style w:type="paragraph" w:styleId="Heading1">
    <w:name w:val="heading 1"/>
    <w:basedOn w:val="Normal"/>
    <w:next w:val="Normal"/>
    <w:qFormat/>
    <w:rsid w:val="007215E4"/>
    <w:pPr>
      <w:keepNext/>
      <w:jc w:val="center"/>
      <w:outlineLvl w:val="0"/>
    </w:pPr>
    <w:rPr>
      <w:b/>
      <w:sz w:val="36"/>
    </w:rPr>
  </w:style>
  <w:style w:type="paragraph" w:styleId="Heading2">
    <w:name w:val="heading 2"/>
    <w:basedOn w:val="Normal"/>
    <w:next w:val="Normal"/>
    <w:qFormat/>
    <w:rsid w:val="00575303"/>
    <w:pPr>
      <w:keepNext/>
      <w:widowControl w:val="0"/>
      <w:tabs>
        <w:tab w:val="center" w:pos="4680"/>
      </w:tabs>
      <w:jc w:val="center"/>
      <w:outlineLvl w:val="1"/>
    </w:pPr>
    <w:rPr>
      <w:b/>
      <w:snapToGrid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widowControl w:val="0"/>
      <w:ind w:left="720"/>
    </w:pPr>
    <w:rPr>
      <w:snapToGrid w:val="0"/>
    </w:rPr>
  </w:style>
  <w:style w:type="paragraph" w:styleId="BodyText">
    <w:name w:val="Body Text"/>
    <w:basedOn w:val="Normal"/>
    <w:rPr>
      <w:rFonts w:ascii="Bookman Old Style" w:hAnsi="Bookman Old Style"/>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style>
  <w:style w:type="paragraph" w:styleId="BodyText2">
    <w:name w:val="Body Text 2"/>
    <w:basedOn w:val="Normal"/>
    <w:rPr>
      <w:rFonts w:ascii="Bookman Old Style" w:hAnsi="Bookman Old Style"/>
      <w:b/>
    </w:rPr>
  </w:style>
  <w:style w:type="character" w:styleId="PageNumber">
    <w:name w:val="page number"/>
    <w:basedOn w:val="DefaultParagraphFont"/>
  </w:style>
  <w:style w:type="paragraph" w:styleId="BalloonText">
    <w:name w:val="Balloon Text"/>
    <w:basedOn w:val="Normal"/>
    <w:semiHidden/>
    <w:rsid w:val="003743E8"/>
    <w:rPr>
      <w:rFonts w:ascii="Tahoma" w:hAnsi="Tahoma" w:cs="Tahoma"/>
      <w:sz w:val="16"/>
      <w:szCs w:val="16"/>
    </w:rPr>
  </w:style>
  <w:style w:type="paragraph" w:styleId="Header">
    <w:name w:val="header"/>
    <w:basedOn w:val="Normal"/>
    <w:link w:val="HeaderChar"/>
    <w:rsid w:val="00550DF0"/>
    <w:pPr>
      <w:tabs>
        <w:tab w:val="clear" w:pos="360"/>
        <w:tab w:val="clear" w:pos="480"/>
        <w:tab w:val="clear" w:pos="720"/>
        <w:tab w:val="clear" w:pos="1080"/>
        <w:tab w:val="clear" w:pos="1440"/>
        <w:tab w:val="clear" w:pos="1800"/>
        <w:tab w:val="center" w:pos="4680"/>
        <w:tab w:val="right" w:pos="9360"/>
      </w:tabs>
    </w:pPr>
  </w:style>
  <w:style w:type="character" w:customStyle="1" w:styleId="HeaderChar">
    <w:name w:val="Header Char"/>
    <w:link w:val="Header"/>
    <w:rsid w:val="00550DF0"/>
    <w:rPr>
      <w:color w:val="000000"/>
      <w:sz w:val="24"/>
    </w:rPr>
  </w:style>
  <w:style w:type="numbering" w:customStyle="1" w:styleId="FPCode">
    <w:name w:val="FP Code"/>
    <w:rsid w:val="00565CA2"/>
    <w:pPr>
      <w:numPr>
        <w:numId w:val="1"/>
      </w:numPr>
    </w:pPr>
  </w:style>
  <w:style w:type="numbering" w:customStyle="1" w:styleId="Floodplain">
    <w:name w:val="Floodplain"/>
    <w:rsid w:val="007663B0"/>
    <w:pPr>
      <w:numPr>
        <w:numId w:val="2"/>
      </w:numPr>
    </w:pPr>
  </w:style>
  <w:style w:type="table" w:styleId="TableGrid">
    <w:name w:val="Table Grid"/>
    <w:basedOn w:val="TableNormal"/>
    <w:rsid w:val="0045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1387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subject/>
  <dc:creator>..</dc:creator>
  <cp:keywords/>
  <cp:lastModifiedBy>Whitney Montague</cp:lastModifiedBy>
  <cp:revision>13</cp:revision>
  <cp:lastPrinted>2005-12-12T15:10:00Z</cp:lastPrinted>
  <dcterms:created xsi:type="dcterms:W3CDTF">2017-06-23T14:31:00Z</dcterms:created>
  <dcterms:modified xsi:type="dcterms:W3CDTF">2017-06-23T16:24:00Z</dcterms:modified>
</cp:coreProperties>
</file>